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spacing w:line="360" w:lineRule="exact"/>
        <w:jc w:val="center"/>
        <w:rPr>
          <w:rFonts w:hint="eastAsia" w:ascii="宋体" w:hAnsi="宋体" w:cs="宋体"/>
          <w:bCs/>
          <w:sz w:val="36"/>
        </w:rPr>
      </w:pPr>
      <w:bookmarkStart w:id="0" w:name="_Toc5729"/>
      <w:bookmarkStart w:id="1" w:name="_Toc1776"/>
      <w:r>
        <w:rPr>
          <w:rFonts w:hint="eastAsia" w:ascii="宋体" w:hAnsi="宋体" w:cs="宋体"/>
          <w:bCs/>
          <w:sz w:val="36"/>
        </w:rPr>
        <w:t>比选项目要求</w:t>
      </w:r>
      <w:bookmarkEnd w:id="0"/>
      <w:bookmarkEnd w:id="1"/>
    </w:p>
    <w:p>
      <w:pPr>
        <w:pStyle w:val="4"/>
        <w:spacing w:before="0" w:after="0" w:line="360" w:lineRule="auto"/>
        <w:rPr>
          <w:rFonts w:hint="eastAsia" w:ascii="宋体" w:hAnsi="宋体" w:eastAsia="宋体" w:cs="宋体"/>
          <w:sz w:val="24"/>
          <w:szCs w:val="24"/>
        </w:rPr>
      </w:pPr>
      <w:bookmarkStart w:id="2" w:name="_Toc30267"/>
      <w:bookmarkStart w:id="3" w:name="_Toc139139996"/>
      <w:r>
        <w:rPr>
          <w:rFonts w:hint="eastAsia" w:ascii="宋体" w:hAnsi="宋体" w:eastAsia="宋体" w:cs="宋体"/>
          <w:sz w:val="24"/>
          <w:szCs w:val="24"/>
        </w:rPr>
        <w:t>一、</w:t>
      </w:r>
      <w:bookmarkEnd w:id="2"/>
      <w:bookmarkEnd w:id="3"/>
      <w:r>
        <w:rPr>
          <w:rFonts w:hint="eastAsia" w:ascii="宋体" w:hAnsi="宋体" w:eastAsia="宋体" w:cs="宋体"/>
          <w:sz w:val="24"/>
          <w:szCs w:val="24"/>
        </w:rPr>
        <w:t>技术要求：</w:t>
      </w:r>
    </w:p>
    <w:p>
      <w:pPr>
        <w:pStyle w:val="5"/>
        <w:rPr>
          <w:rFonts w:hint="eastAsia"/>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1111"/>
        <w:gridCol w:w="546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54" w:type="dxa"/>
            <w:noWrap w:val="0"/>
            <w:vAlign w:val="center"/>
          </w:tcPr>
          <w:p>
            <w:pPr>
              <w:jc w:val="center"/>
            </w:pPr>
            <w:r>
              <w:rPr>
                <w:rFonts w:hint="eastAsia"/>
              </w:rPr>
              <w:t>序号</w:t>
            </w:r>
          </w:p>
        </w:tc>
        <w:tc>
          <w:tcPr>
            <w:tcW w:w="1111" w:type="dxa"/>
            <w:noWrap w:val="0"/>
            <w:vAlign w:val="center"/>
          </w:tcPr>
          <w:p>
            <w:pPr>
              <w:jc w:val="center"/>
            </w:pPr>
            <w:r>
              <w:rPr>
                <w:rFonts w:hint="eastAsia"/>
              </w:rPr>
              <w:t>产品名称</w:t>
            </w:r>
          </w:p>
        </w:tc>
        <w:tc>
          <w:tcPr>
            <w:tcW w:w="5469" w:type="dxa"/>
            <w:noWrap w:val="0"/>
            <w:vAlign w:val="center"/>
          </w:tcPr>
          <w:p>
            <w:pPr>
              <w:jc w:val="center"/>
              <w:rPr>
                <w:rFonts w:hint="eastAsia"/>
              </w:rPr>
            </w:pPr>
            <w:r>
              <w:rPr>
                <w:rFonts w:hint="eastAsia"/>
              </w:rPr>
              <w:t>技术参数</w:t>
            </w:r>
          </w:p>
        </w:tc>
        <w:tc>
          <w:tcPr>
            <w:tcW w:w="1287" w:type="dxa"/>
            <w:noWrap w:val="0"/>
            <w:vAlign w:val="center"/>
          </w:tcPr>
          <w:p>
            <w:pPr>
              <w:jc w:val="center"/>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654" w:type="dxa"/>
            <w:noWrap w:val="0"/>
            <w:vAlign w:val="center"/>
          </w:tcPr>
          <w:p>
            <w:pPr>
              <w:jc w:val="center"/>
            </w:pPr>
            <w:r>
              <w:rPr>
                <w:rFonts w:hint="eastAsia"/>
              </w:rPr>
              <w:t>1</w:t>
            </w:r>
          </w:p>
        </w:tc>
        <w:tc>
          <w:tcPr>
            <w:tcW w:w="1111" w:type="dxa"/>
            <w:noWrap w:val="0"/>
            <w:vAlign w:val="center"/>
          </w:tcPr>
          <w:p>
            <w:pPr>
              <w:jc w:val="center"/>
            </w:pPr>
            <w:r>
              <w:rPr>
                <w:rFonts w:hint="eastAsia"/>
              </w:rPr>
              <w:t>内存条1</w:t>
            </w:r>
          </w:p>
        </w:tc>
        <w:tc>
          <w:tcPr>
            <w:tcW w:w="5469" w:type="dxa"/>
            <w:noWrap w:val="0"/>
            <w:vAlign w:val="center"/>
          </w:tcPr>
          <w:p>
            <w:pPr>
              <w:spacing w:line="440" w:lineRule="exact"/>
              <w:jc w:val="left"/>
              <w:rPr>
                <w:rFonts w:hint="eastAsia"/>
              </w:rPr>
            </w:pPr>
            <w:r>
              <w:rPr>
                <w:rFonts w:hint="eastAsia"/>
              </w:rPr>
              <w:t>1、32G DDR4，频率2933MHz云桌面服务器内存条；</w:t>
            </w:r>
          </w:p>
          <w:p>
            <w:pPr>
              <w:spacing w:line="440" w:lineRule="exact"/>
              <w:jc w:val="left"/>
              <w:rPr>
                <w:rFonts w:hint="eastAsia"/>
              </w:rPr>
            </w:pPr>
            <w:r>
              <w:rPr>
                <w:rFonts w:hint="eastAsia"/>
              </w:rPr>
              <w:t>2、完全兼容现有云桌面后台服务器；</w:t>
            </w:r>
          </w:p>
          <w:p>
            <w:pPr>
              <w:spacing w:line="440" w:lineRule="exact"/>
              <w:jc w:val="left"/>
              <w:rPr>
                <w:rFonts w:hint="eastAsia"/>
              </w:rPr>
            </w:pPr>
            <w:r>
              <w:rPr>
                <w:rFonts w:hint="eastAsia"/>
              </w:rPr>
              <w:t>3、在线扩容到现有云桌面3个节点集群中；</w:t>
            </w:r>
          </w:p>
          <w:p>
            <w:pPr>
              <w:spacing w:line="440" w:lineRule="exact"/>
              <w:jc w:val="left"/>
              <w:rPr>
                <w:rFonts w:hint="eastAsia"/>
              </w:rPr>
            </w:pPr>
            <w:r>
              <w:rPr>
                <w:rFonts w:hint="eastAsia"/>
              </w:rPr>
              <w:t>4、工程师现场进行安装及数据迁移和调优；</w:t>
            </w:r>
          </w:p>
          <w:p>
            <w:pPr>
              <w:spacing w:line="440" w:lineRule="exact"/>
              <w:jc w:val="left"/>
              <w:rPr>
                <w:rFonts w:hint="eastAsia"/>
              </w:rPr>
            </w:pPr>
            <w:r>
              <w:rPr>
                <w:rFonts w:hint="eastAsia"/>
              </w:rPr>
              <w:t>5、售后质保期：从验收合格之日起3年。</w:t>
            </w:r>
          </w:p>
        </w:tc>
        <w:tc>
          <w:tcPr>
            <w:tcW w:w="1287" w:type="dxa"/>
            <w:noWrap w:val="0"/>
            <w:vAlign w:val="center"/>
          </w:tcPr>
          <w:p>
            <w:pPr>
              <w:jc w:val="center"/>
              <w:rPr>
                <w:szCs w:val="21"/>
              </w:rPr>
            </w:pPr>
            <w:r>
              <w:rPr>
                <w:rFonts w:hint="eastAsia"/>
                <w:szCs w:val="21"/>
              </w:rPr>
              <w:t>9根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654" w:type="dxa"/>
            <w:noWrap w:val="0"/>
            <w:vAlign w:val="center"/>
          </w:tcPr>
          <w:p>
            <w:pPr>
              <w:jc w:val="center"/>
            </w:pPr>
            <w:r>
              <w:rPr>
                <w:rFonts w:hint="eastAsia"/>
              </w:rPr>
              <w:t>2</w:t>
            </w:r>
          </w:p>
        </w:tc>
        <w:tc>
          <w:tcPr>
            <w:tcW w:w="1111" w:type="dxa"/>
            <w:noWrap w:val="0"/>
            <w:vAlign w:val="center"/>
          </w:tcPr>
          <w:p>
            <w:pPr>
              <w:jc w:val="center"/>
            </w:pPr>
            <w:r>
              <w:rPr>
                <w:rFonts w:hint="eastAsia"/>
              </w:rPr>
              <w:t>内存条2</w:t>
            </w:r>
          </w:p>
        </w:tc>
        <w:tc>
          <w:tcPr>
            <w:tcW w:w="5469" w:type="dxa"/>
            <w:noWrap w:val="0"/>
            <w:vAlign w:val="center"/>
          </w:tcPr>
          <w:p>
            <w:pPr>
              <w:spacing w:line="440" w:lineRule="exact"/>
              <w:jc w:val="left"/>
              <w:rPr>
                <w:rFonts w:hint="eastAsia"/>
              </w:rPr>
            </w:pPr>
            <w:r>
              <w:rPr>
                <w:rFonts w:hint="eastAsia"/>
              </w:rPr>
              <w:t>1、32G DDR4，频率3200MHz超融合一体机内存条；</w:t>
            </w:r>
          </w:p>
          <w:p>
            <w:pPr>
              <w:spacing w:line="440" w:lineRule="exact"/>
              <w:jc w:val="left"/>
              <w:rPr>
                <w:rFonts w:hint="eastAsia"/>
              </w:rPr>
            </w:pPr>
            <w:r>
              <w:rPr>
                <w:rFonts w:hint="eastAsia"/>
              </w:rPr>
              <w:t>2、完全兼容现有超融合一体机；</w:t>
            </w:r>
          </w:p>
          <w:p>
            <w:pPr>
              <w:spacing w:line="440" w:lineRule="exact"/>
              <w:jc w:val="left"/>
              <w:rPr>
                <w:rFonts w:hint="eastAsia"/>
              </w:rPr>
            </w:pPr>
            <w:r>
              <w:rPr>
                <w:rFonts w:hint="eastAsia"/>
              </w:rPr>
              <w:t>3、在线扩容到现有5台超融合一体机中；</w:t>
            </w:r>
          </w:p>
          <w:p>
            <w:pPr>
              <w:spacing w:line="440" w:lineRule="exact"/>
              <w:jc w:val="left"/>
              <w:rPr>
                <w:rFonts w:hint="eastAsia"/>
              </w:rPr>
            </w:pPr>
            <w:r>
              <w:rPr>
                <w:rFonts w:hint="eastAsia"/>
              </w:rPr>
              <w:t>4、工程师现场进行安装及数据迁移和调优；</w:t>
            </w:r>
          </w:p>
          <w:p>
            <w:pPr>
              <w:spacing w:line="440" w:lineRule="exact"/>
              <w:jc w:val="left"/>
              <w:rPr>
                <w:rFonts w:hint="eastAsia"/>
              </w:rPr>
            </w:pPr>
            <w:r>
              <w:rPr>
                <w:rFonts w:hint="eastAsia"/>
              </w:rPr>
              <w:t>5、售后质保期：从验收合格之日起3年。</w:t>
            </w:r>
          </w:p>
        </w:tc>
        <w:tc>
          <w:tcPr>
            <w:tcW w:w="1287" w:type="dxa"/>
            <w:noWrap w:val="0"/>
            <w:vAlign w:val="center"/>
          </w:tcPr>
          <w:p>
            <w:pPr>
              <w:jc w:val="center"/>
              <w:rPr>
                <w:szCs w:val="21"/>
              </w:rPr>
            </w:pPr>
            <w:r>
              <w:rPr>
                <w:rFonts w:hint="eastAsia"/>
                <w:szCs w:val="21"/>
              </w:rPr>
              <w:t>40根</w:t>
            </w:r>
          </w:p>
        </w:tc>
      </w:tr>
    </w:tbl>
    <w:p>
      <w:pPr>
        <w:pStyle w:val="5"/>
        <w:rPr>
          <w:rFonts w:hint="eastAsia"/>
        </w:rPr>
      </w:pPr>
    </w:p>
    <w:p>
      <w:pPr>
        <w:pStyle w:val="4"/>
        <w:pageBreakBefore w:val="0"/>
        <w:widowControl w:val="0"/>
        <w:numPr>
          <w:ilvl w:val="0"/>
          <w:numId w:val="1"/>
        </w:numPr>
        <w:kinsoku/>
        <w:wordWrap/>
        <w:overflowPunct/>
        <w:topLinePunct w:val="0"/>
        <w:autoSpaceDE/>
        <w:autoSpaceDN/>
        <w:bidi w:val="0"/>
        <w:adjustRightInd/>
        <w:snapToGrid/>
        <w:spacing w:before="0" w:after="0" w:line="578" w:lineRule="exact"/>
        <w:textAlignment w:val="auto"/>
        <w:rPr>
          <w:rFonts w:ascii="宋体" w:hAnsi="宋体" w:eastAsia="宋体" w:cs="宋体"/>
          <w:sz w:val="24"/>
          <w:szCs w:val="24"/>
        </w:rPr>
      </w:pPr>
      <w:r>
        <w:rPr>
          <w:rFonts w:hint="eastAsia" w:ascii="宋体" w:hAnsi="宋体" w:eastAsia="宋体" w:cs="宋体"/>
          <w:sz w:val="24"/>
          <w:szCs w:val="24"/>
        </w:rPr>
        <w:t>商务要求（实质性要求）：</w:t>
      </w:r>
    </w:p>
    <w:p>
      <w:pPr>
        <w:pageBreakBefore w:val="0"/>
        <w:widowControl w:val="0"/>
        <w:kinsoku/>
        <w:wordWrap/>
        <w:overflowPunct/>
        <w:topLinePunct w:val="0"/>
        <w:autoSpaceDE/>
        <w:autoSpaceDN/>
        <w:bidi w:val="0"/>
        <w:adjustRightInd/>
        <w:snapToGrid/>
        <w:spacing w:line="578" w:lineRule="exact"/>
        <w:ind w:firstLine="480" w:firstLineChars="200"/>
        <w:textAlignment w:val="auto"/>
        <w:rPr>
          <w:rFonts w:ascii="宋体" w:hAnsi="宋体" w:cs="宋体"/>
          <w:sz w:val="24"/>
        </w:rPr>
      </w:pPr>
      <w:r>
        <w:rPr>
          <w:rFonts w:hint="eastAsia" w:ascii="宋体" w:hAnsi="宋体" w:cs="宋体"/>
          <w:sz w:val="24"/>
        </w:rPr>
        <w:t>1.交付时间：自合同签订之日起25日内完成交付。</w:t>
      </w:r>
      <w:bookmarkStart w:id="4" w:name="_GoBack"/>
      <w:bookmarkEnd w:id="4"/>
    </w:p>
    <w:p>
      <w:pPr>
        <w:pageBreakBefore w:val="0"/>
        <w:widowControl w:val="0"/>
        <w:kinsoku/>
        <w:wordWrap/>
        <w:overflowPunct/>
        <w:topLinePunct w:val="0"/>
        <w:autoSpaceDE/>
        <w:autoSpaceDN/>
        <w:bidi w:val="0"/>
        <w:adjustRightInd/>
        <w:snapToGrid/>
        <w:spacing w:line="578" w:lineRule="exact"/>
        <w:ind w:firstLine="480" w:firstLineChars="200"/>
        <w:textAlignment w:val="auto"/>
        <w:rPr>
          <w:rFonts w:ascii="宋体" w:hAnsi="宋体" w:cs="宋体"/>
          <w:sz w:val="24"/>
        </w:rPr>
      </w:pPr>
      <w:r>
        <w:rPr>
          <w:rFonts w:hint="eastAsia" w:ascii="宋体" w:hAnsi="宋体" w:cs="宋体"/>
          <w:sz w:val="24"/>
        </w:rPr>
        <w:t>2.服务地点：</w:t>
      </w:r>
      <w:r>
        <w:rPr>
          <w:rFonts w:hint="eastAsia" w:ascii="宋体" w:hAnsi="宋体" w:cs="宋体"/>
          <w:sz w:val="24"/>
          <w:lang w:val="zh-CN"/>
        </w:rPr>
        <w:t>泸州市妇幼保健院（泸州市第二人民医院）。</w:t>
      </w:r>
    </w:p>
    <w:p>
      <w:pPr>
        <w:pageBreakBefore w:val="0"/>
        <w:widowControl w:val="0"/>
        <w:kinsoku/>
        <w:wordWrap/>
        <w:overflowPunct/>
        <w:topLinePunct w:val="0"/>
        <w:autoSpaceDE/>
        <w:autoSpaceDN/>
        <w:bidi w:val="0"/>
        <w:adjustRightInd/>
        <w:snapToGrid/>
        <w:spacing w:line="578" w:lineRule="exact"/>
        <w:textAlignment w:val="auto"/>
      </w:pPr>
      <w:r>
        <w:rPr>
          <w:rFonts w:hint="eastAsia" w:ascii="宋体" w:hAnsi="宋体" w:cs="宋体"/>
          <w:sz w:val="24"/>
        </w:rPr>
        <w:t>3.付款方式：合同签订完成且验收合格后</w:t>
      </w:r>
      <w:r>
        <w:rPr>
          <w:rFonts w:hint="eastAsia" w:ascii="宋体" w:hAnsi="宋体" w:cs="宋体"/>
          <w:kern w:val="0"/>
          <w:sz w:val="24"/>
          <w:szCs w:val="24"/>
          <w:lang w:bidi="ar"/>
        </w:rPr>
        <w:t>，供应商提供符合国家规定的发票起二十个工作日内付款至合同金额的100%。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7A22B3"/>
    <w:multiLevelType w:val="singleLevel"/>
    <w:tmpl w:val="567A22B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1ODhkZjc3NjdhMWUwMmVmN2RhYTE1ZDU3NTdmMzYifQ=="/>
  </w:docVars>
  <w:rsids>
    <w:rsidRoot w:val="28B1761E"/>
    <w:rsid w:val="28B17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kern w:val="44"/>
      <w:sz w:val="32"/>
    </w:rPr>
  </w:style>
  <w:style w:type="paragraph" w:styleId="4">
    <w:name w:val="heading 2"/>
    <w:basedOn w:val="1"/>
    <w:next w:val="5"/>
    <w:qFormat/>
    <w:uiPriority w:val="0"/>
    <w:pPr>
      <w:keepNext/>
      <w:keepLines/>
      <w:spacing w:before="260" w:after="260" w:line="500" w:lineRule="exact"/>
      <w:outlineLvl w:val="1"/>
    </w:pPr>
    <w:rPr>
      <w:rFonts w:ascii="Arial" w:hAnsi="Arial" w:eastAsia="黑体"/>
      <w:b/>
      <w:sz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20" w:firstLineChars="200"/>
    </w:pPr>
  </w:style>
  <w:style w:type="paragraph" w:styleId="5">
    <w:name w:val="Normal Indent"/>
    <w:basedOn w:val="1"/>
    <w:qFormat/>
    <w:uiPriority w:val="0"/>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2023-04-19T01:57:00Z</dcterms:created>
  <dc:creator>xun</dc:creator>
  <cp:lastModifiedBy>xun</cp:lastModifiedBy>
  <dcterms:modified xsi:type="dcterms:W3CDTF">2023-04-19T01:58:46Z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8415016E047C4D6A9FDE3D79A6973469_11</vt:lpwstr>
  </property>
</Properties>
</file>