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sz w:val="40"/>
          <w:szCs w:val="40"/>
        </w:rPr>
      </w:pPr>
      <w:bookmarkStart w:id="0" w:name="_Toc30267"/>
      <w:bookmarkStart w:id="1" w:name="_Toc139139996"/>
      <w:r>
        <w:rPr>
          <w:rFonts w:hint="eastAsia" w:ascii="宋体" w:hAnsi="宋体" w:eastAsia="宋体" w:cs="宋体"/>
          <w:b/>
          <w:bCs/>
          <w:sz w:val="40"/>
          <w:szCs w:val="40"/>
        </w:rPr>
        <w:t>泸州市妇幼保健院（泸州市第二人民医院）</w:t>
      </w:r>
    </w:p>
    <w:p>
      <w:pPr>
        <w:pStyle w:val="2"/>
        <w:spacing w:before="0" w:after="0" w:line="360" w:lineRule="auto"/>
        <w:jc w:val="center"/>
        <w:rPr>
          <w:rFonts w:hint="eastAsia"/>
        </w:rPr>
      </w:pPr>
      <w:r>
        <w:rPr>
          <w:rFonts w:hint="eastAsia" w:ascii="宋体" w:hAnsi="宋体" w:eastAsia="宋体" w:cs="宋体"/>
          <w:b/>
          <w:bCs/>
          <w:sz w:val="40"/>
          <w:szCs w:val="40"/>
        </w:rPr>
        <w:t>2024年办公用品配送服务（第二批）采购项目</w:t>
      </w:r>
    </w:p>
    <w:p>
      <w:pPr>
        <w:pStyle w:val="2"/>
        <w:spacing w:before="0" w:after="0" w:line="360" w:lineRule="auto"/>
        <w:rPr>
          <w:rFonts w:ascii="宋体" w:hAnsi="宋体" w:eastAsia="宋体" w:cs="宋体"/>
          <w:sz w:val="24"/>
          <w:szCs w:val="24"/>
        </w:rPr>
      </w:pPr>
      <w:r>
        <w:rPr>
          <w:rFonts w:hint="eastAsia" w:ascii="宋体" w:hAnsi="宋体" w:eastAsia="宋体" w:cs="宋体"/>
          <w:sz w:val="24"/>
          <w:szCs w:val="24"/>
        </w:rPr>
        <w:t>一、</w:t>
      </w:r>
      <w:bookmarkEnd w:id="0"/>
      <w:bookmarkEnd w:id="1"/>
      <w:r>
        <w:rPr>
          <w:rFonts w:hint="eastAsia" w:ascii="宋体" w:hAnsi="宋体" w:eastAsia="宋体" w:cs="宋体"/>
          <w:sz w:val="24"/>
          <w:szCs w:val="24"/>
        </w:rPr>
        <w:t>技术、服务要求（实质性）：</w:t>
      </w:r>
    </w:p>
    <w:tbl>
      <w:tblPr>
        <w:tblStyle w:val="3"/>
        <w:tblW w:w="5000" w:type="pct"/>
        <w:jc w:val="center"/>
        <w:tblLayout w:type="autofit"/>
        <w:tblCellMar>
          <w:top w:w="0" w:type="dxa"/>
          <w:left w:w="108" w:type="dxa"/>
          <w:bottom w:w="0" w:type="dxa"/>
          <w:right w:w="108" w:type="dxa"/>
        </w:tblCellMar>
      </w:tblPr>
      <w:tblGrid>
        <w:gridCol w:w="427"/>
        <w:gridCol w:w="757"/>
        <w:gridCol w:w="427"/>
        <w:gridCol w:w="5995"/>
        <w:gridCol w:w="916"/>
      </w:tblGrid>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名称</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单位</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技术及性能要求</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单价限价（元）</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抽杆夹1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1.适用于各种资料、文件等纸制品的分类保管和存放，实色抽杆报告夹，采用≥15mm厚塑料材质。</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抽杆夹2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1.适用于各种资料、文件等纸制品的分类保管和存放，实色抽杆报告夹，采用≥15mm厚塑料材质。</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抽杆夹3</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1.适用于各种资料、文件等纸制品的分类保管和存放，三角形抽干，抽干侧宽≥7mm、夹纸≥30页。</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白板笔1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1.适用于日常生活中的白板、塑膜、玻璃、釉质等表面书写，笔芯颜色≥3种，易写易擦，书写顺滑，出墨均匀。</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r>
      <w:tr>
        <w:tblPrEx>
          <w:tblCellMar>
            <w:top w:w="0" w:type="dxa"/>
            <w:left w:w="108" w:type="dxa"/>
            <w:bottom w:w="0" w:type="dxa"/>
            <w:right w:w="108" w:type="dxa"/>
          </w:tblCellMar>
        </w:tblPrEx>
        <w:trPr>
          <w:trHeight w:val="112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白板笔2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1.适用于日常生活中的白板、塑膜、玻璃、釉质等表面书写，双头，笔芯颜色≥3种，墨水稳定性强，在室温条件下能正常的书写，墨水均匀不分层。</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白板擦</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1.适用于擦除彩涂板/玻璃板上的字迹及污垢，表面采用绒面，有磁性。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白板清洁液</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瓶</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1.适用于白板笔渍清洁，规格：≥500ml，主要有效成分：表面活性材料。</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14.5</w:t>
            </w:r>
          </w:p>
        </w:tc>
      </w:tr>
      <w:tr>
        <w:tblPrEx>
          <w:tblCellMar>
            <w:top w:w="0" w:type="dxa"/>
            <w:left w:w="108" w:type="dxa"/>
            <w:bottom w:w="0" w:type="dxa"/>
            <w:right w:w="108" w:type="dxa"/>
          </w:tblCellMar>
        </w:tblPrEx>
        <w:trPr>
          <w:trHeight w:val="150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白板1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块</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1.适用于教学，会议讨论等可反复擦写的书写工具，规格：≥100cm×200cm，边框采用铝合金材质，具有ABS包角设计，≥10层烤漆面板，可吸附磁钉擦板，书写顺畅，易写易擦，表面平整。</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235</w:t>
            </w:r>
          </w:p>
        </w:tc>
      </w:tr>
      <w:tr>
        <w:tblPrEx>
          <w:tblCellMar>
            <w:top w:w="0" w:type="dxa"/>
            <w:left w:w="108" w:type="dxa"/>
            <w:bottom w:w="0" w:type="dxa"/>
            <w:right w:w="108" w:type="dxa"/>
          </w:tblCellMar>
        </w:tblPrEx>
        <w:trPr>
          <w:trHeight w:val="150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白板2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块</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1.适用于教学，会议讨论等可反复擦写的书写工具，规格：≥80cm×120cm，边框采用铝合金材质，具有ABS包角设计，≥10层烤漆面板，可吸附磁钉擦板，书写顺畅，易写易擦，表面平整。</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107</w:t>
            </w:r>
          </w:p>
        </w:tc>
      </w:tr>
      <w:tr>
        <w:tblPrEx>
          <w:tblCellMar>
            <w:top w:w="0" w:type="dxa"/>
            <w:left w:w="108" w:type="dxa"/>
            <w:bottom w:w="0" w:type="dxa"/>
            <w:right w:w="108" w:type="dxa"/>
          </w:tblCellMar>
        </w:tblPrEx>
        <w:trPr>
          <w:trHeight w:val="150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白板3</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块</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1.适用于教学，会议讨论等可反复擦写的书写工具，规格：≥50cm×70cm，边框采用铝合金材质，具有ABS包角设计，≥10层烤漆面板，可吸附磁钉擦板，书写顺畅，易写易擦，表面平整。</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w:t>
            </w:r>
          </w:p>
        </w:tc>
      </w:tr>
      <w:tr>
        <w:tblPrEx>
          <w:tblCellMar>
            <w:top w:w="0" w:type="dxa"/>
            <w:left w:w="108" w:type="dxa"/>
            <w:bottom w:w="0" w:type="dxa"/>
            <w:right w:w="108" w:type="dxa"/>
          </w:tblCellMar>
        </w:tblPrEx>
        <w:trPr>
          <w:trHeight w:val="150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白板4</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块</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1.适用于教学，会议讨论等可反复擦写的书写工具，规格：≥60cm×90cm，边框采用铝合金材质，具有ABS包角设计，≥10层烤漆面板，可吸附磁钉擦板，书写顺畅，易写易擦，表面平整。</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w:t>
            </w:r>
          </w:p>
        </w:tc>
      </w:tr>
      <w:tr>
        <w:tblPrEx>
          <w:tblCellMar>
            <w:top w:w="0" w:type="dxa"/>
            <w:left w:w="108" w:type="dxa"/>
            <w:bottom w:w="0" w:type="dxa"/>
            <w:right w:w="108" w:type="dxa"/>
          </w:tblCellMar>
        </w:tblPrEx>
        <w:trPr>
          <w:trHeight w:val="112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白板5</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块</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1.适用于教学，会议讨论等可反复擦写的书写工具，边框采用铝合金材质，具有ABS包角设计，≥10层烤漆面板，可吸附磁钉擦板，书写顺畅，易写易擦，表面平整。</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65</w:t>
            </w:r>
          </w:p>
        </w:tc>
      </w:tr>
      <w:tr>
        <w:tblPrEx>
          <w:tblCellMar>
            <w:top w:w="0" w:type="dxa"/>
            <w:left w:w="108" w:type="dxa"/>
            <w:bottom w:w="0" w:type="dxa"/>
            <w:right w:w="108" w:type="dxa"/>
          </w:tblCellMar>
        </w:tblPrEx>
        <w:trPr>
          <w:trHeight w:val="112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白板架</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1.适用于固定白板，规格：≥100cm×150cm，支架可360°旋转，可调节支架宽度，具有A字型脚架设计，移动滑轮自带刹车装置。</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w:t>
            </w:r>
          </w:p>
        </w:tc>
      </w:tr>
      <w:tr>
        <w:tblPrEx>
          <w:tblCellMar>
            <w:top w:w="0" w:type="dxa"/>
            <w:left w:w="108" w:type="dxa"/>
            <w:bottom w:w="0" w:type="dxa"/>
            <w:right w:w="108" w:type="dxa"/>
          </w:tblCellMar>
        </w:tblPrEx>
        <w:trPr>
          <w:trHeight w:val="112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黑白板</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块</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1.适用于教学，会议讨论等可反复擦写的书写工具，规格：≥90cm×120cm，边框采用铝合金材质，磁性烤漆面板，具有ABS包角设计，自带移动笔托和挂钩。</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磁钉</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盒</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1.适用于纸张固定在白板上，规格：≥Φ30mm，采用金属材质，球面形状，吸附力强。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资料册1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1.适用于保管图片及文件资料，采用聚丙烯（PP）材质，规格：≥40页A4纸，圆弧边角。</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资料册2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1.适用于保管图片及文件资料，采用聚丙烯（PP）材质，规格：≥60页A4纸，圆弧边角。</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资料册3</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1.适用于保管图片及文件资料，采用聚丙烯（PP）材质，规格：≥100页A4纸，圆弧边角。</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资料册4</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1.适用于保管图片及文件资料，采用聚丙烯（PP）材质，规格：≥80页A4纸，圆弧边角。</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档案盒1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1.适用于存放和保存归档文件，采用牛皮纸，规格：A4纸、脊背厚度≥60mm，弹力绳可反复拉伸，象牙签坚固耐用。</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档案盒2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1.适用于存放和保存归档文件，采用牛皮纸，规格：A4纸、脊背厚度≥40mm，弹力绳可反复拉伸，象牙签坚固耐用。</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档案盒3</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1.适用于存放和保存归档文件，采用聚丙烯（PP）材质，规格：A4纸、脊背厚度≥55mm，魔术粘贴封口。</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档案盒4</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1.适用于存放和保存归档文件，采用聚丙烯（PP）材质，规格：A4纸、脊背厚度≥35mm，魔术粘贴封口。</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档案盒5</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1.适用于存放和保存归档文件，采用聚丙烯（PP）材质，规格：A4纸、脊背厚度≥76mm，魔术粘贴封口。</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档案袋</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1.适用于存放和保存归档文件，采用牛皮纸，规格：A4纸，底宽2.8cm～6cm，绕绳封口，字迹印刷清晰。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文件袋1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1.适用于存放和保存归档文件，采用牛皮纸，字迹印刷清晰。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文件袋2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1.适用于存放和保存归档文件，采用聚丙烯（PP）材质，纽扣信封式结构，透明款。</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长尾票夹1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1.适用于夹纸张和票据，规格：≥32mm、夹纸≥80张，夹口具有弧形设计。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长尾票夹2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1.适用于夹纸张和票据，规格：≥41mm、夹纸≥150张，夹口具有弧形设计。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长尾票夹3</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1.适用于夹纸张和票据，规格；≥25mm、夹纸≥55张，夹口具有弧形设计。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长尾票夹4</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1.适用于夹纸张和票据，规格:≥19mm、夹纸≥40张，夹口具有弧形设计。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长尾票夹5</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1.适用于夹纸张和票据，规格:≥15mm、夹纸≥30张，夹口具有弧形设计。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文件夹1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1.适用于存放和保存归档文件，采用聚氯乙烯（PVC）材质，押夹采用不锈刚材质，规格：A4单夹。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文件夹2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1.适用于存放和保存归档文件，采用聚氯乙烯（PVC）材质，押夹采用不锈刚材质，规格：A4双夹。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文件夹3</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1.适用于存放和保存归档文件，采用长杆旋转夹子，规格：A4、夹纸≥10张，透明封面。</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订书机1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1.适用于装订纸张，外壳采用ABS树脂材质，装订槽采用钢材质，规格：≥122mm×39mm×43mm。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w:t>
            </w:r>
          </w:p>
        </w:tc>
      </w:tr>
      <w:tr>
        <w:tblPrEx>
          <w:tblCellMar>
            <w:top w:w="0" w:type="dxa"/>
            <w:left w:w="108" w:type="dxa"/>
            <w:bottom w:w="0" w:type="dxa"/>
            <w:right w:w="108" w:type="dxa"/>
          </w:tblCellMar>
        </w:tblPrEx>
        <w:trPr>
          <w:trHeight w:val="112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订书机2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1.适用于装订纸张，外壳采用ABS树脂材质，装订槽采用钢材质，书针头可360°旋转，规格：尺寸≥56mm×60mm×138mm。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订书机3</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1.适用于装订纸张，采用钢材质，具有超长臂省力设计，装订厚度：≥80页，重量：≥70G。</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90</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迷你型订书机套装</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1.适用于装订纸张，颜色≥3种，具有凹槽设计。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重型厚层订书机</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1.适用于装订纸张，机身采用塑料材质，书针头可360°旋转，装订厚度≥210页。</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140</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小号订书钉</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盒</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1.适用于装订纸张，钢针采用金属材质、加厚电镀处理，规格：≥1000枚/盒。</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大号订书钉</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盒</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1.适用于装订纸张，钢针采用金属材质、加厚电镀处理，规格：≥1000枚/盒。</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厚层订书钉</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盒</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1.适用于装订纸张，钢针采用金属材质、加厚电镀处理，规格：≥1000枚/盒。</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回形针</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盒</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1.适用于文件资料整理，具有镀镍工艺和回形针头翘起设计，规格：≥28mm、≥100枚/盒。</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大头针</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盒</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1.适用于文件资料暂时分类，具有镀镍工艺，规格：≥26mm、≥50g/盒。</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起钉器</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1.适用于拔取订书钉，采用钢材质和省力结构，具有安全搭扣设计，规格：≥55mm×45mm×11mm。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书写板夹1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1.适用于固定纸张，采用≥3mm厚铝合金夹板，夹子采用不锈钢材质，规格：A4。</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书写板夹2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1.适用于固定纸张，采用聚苯乙烯（PS）材质，夹子采用不锈钢材质，规格：A5。</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百事贴1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本</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1.适用于记录待办的事项，压敏胶聚合物涂层胶体，可重复粘贴，规格：≥76mm×19mm、100张/本，颜色≥4种。</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百事贴2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本</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1.适用于记录待办的事项，压敏胶聚合物涂层胶体，可重复粘贴，规格：≥76mm×76mm、100张/本，颜色≥4种。</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直尺1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把</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1.适用于办公绘图，采用透明有机玻璃材质，刻度清晰，规格：≥30cm。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直尺2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把</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1.适用于办公绘图，采用透明有机玻璃材质，刻度清晰，规格：≥20cm。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会议记录本1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本</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1.适用于记录会议的内容，封面采用仿皮革材质，胶装设计，规格：≥25K、≥116页。</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会议记录本2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本</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1.适用于记录会议的内容，封面采用仿皮革材质，胶装设计，规格：≥16K、≥120页。</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会议记录本3</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本</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1.适用于记录会议的内容，封面采用仿皮革材质，胶装设计，规格：A4、≥120页。</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软面抄1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1.适用于记录文字信息的抄写本，内页材质采用双胶纸，规格：≥32K、≥20页。</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软面抄2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1.适用于记录文字信息的抄写本，内页材质采用双胶纸，双面书写，规格：B5、≥60页。</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硬抄本</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1.适用于记录文字信息的抄写本，胶装设计，规格：≥32k、≥72页。</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记事本</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1.适用于记录各类事情的小册子，封面采用仿皮皮面，内页材质采用双胶纸，规格：≥25K、≥100页。</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快干印台</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1.适用于印章按手印指纹，外壳采用塑料材质，红色/蓝色，色彩鲜艳，印迹清晰，规格：≥118mm×68mm。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13.5</w:t>
            </w:r>
          </w:p>
        </w:tc>
      </w:tr>
      <w:tr>
        <w:tblPrEx>
          <w:tblCellMar>
            <w:top w:w="0" w:type="dxa"/>
            <w:left w:w="108" w:type="dxa"/>
            <w:bottom w:w="0" w:type="dxa"/>
            <w:right w:w="108" w:type="dxa"/>
          </w:tblCellMar>
        </w:tblPrEx>
        <w:trPr>
          <w:trHeight w:val="112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快干印油</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瓶</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1.适用于印章按手印指纹，采用颜料，树脂等原材料，色泽鲜艳，印迹清晰，耐水耐光，瓶口采用螺旋纹设计，瓶盖具有凹槽设计，规格：≥40ml。</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红印泥</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1.适用于印章按手印指纹，外壳采用塑料材质，红色/蓝色，色彩鲜艳，印迹清晰，规格：≥φ62mm。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r>
      <w:tr>
        <w:tblPrEx>
          <w:tblCellMar>
            <w:top w:w="0" w:type="dxa"/>
            <w:left w:w="108" w:type="dxa"/>
            <w:bottom w:w="0" w:type="dxa"/>
            <w:right w:w="108" w:type="dxa"/>
          </w:tblCellMar>
        </w:tblPrEx>
        <w:trPr>
          <w:trHeight w:val="112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自动号码机</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1.适用于各种票据文件的编号，机身采用不锈钢材质，自动上墨，自动跳码，≥8位油墨号码机，印迹尺寸：≥3.2cm×0.5cm。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号码机油墨</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瓶</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1.适用于各种票据文件的编号，印迹清晰，耐水耐晒不褪色，规格：≥40ml/瓶。</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海绵缸</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1.适用于财务会计清点票据发票，外壳采用透明聚丙烯（PP）材质，细孔海绵、吸水性好，规格：≥74×36mm。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沾水盒</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1.适用于财务会计清点票据发票，外壳采用聚丙烯（PP）材质，细孔海绵、吸水性好，规格：≥φ6cm。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r>
      <w:tr>
        <w:tblPrEx>
          <w:tblCellMar>
            <w:top w:w="0" w:type="dxa"/>
            <w:left w:w="108" w:type="dxa"/>
            <w:bottom w:w="0" w:type="dxa"/>
            <w:right w:w="108" w:type="dxa"/>
          </w:tblCellMar>
        </w:tblPrEx>
        <w:trPr>
          <w:trHeight w:val="112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固体胶</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1.适用于各种纸张、发票、信封及卡片粘粘，管身采用聚乙烯醇（PVA）材质，无甲醛胶体，具有旋转出胶设计，固体胶含量≥20g。</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r>
      <w:tr>
        <w:tblPrEx>
          <w:tblCellMar>
            <w:top w:w="0" w:type="dxa"/>
            <w:left w:w="108" w:type="dxa"/>
            <w:bottom w:w="0" w:type="dxa"/>
            <w:right w:w="108" w:type="dxa"/>
          </w:tblCellMar>
        </w:tblPrEx>
        <w:trPr>
          <w:trHeight w:val="112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修正液</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瓶</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1.适用于纠正书写错误和清除墨迹的工具，采用不锈钢笔咀，出水流畅附着力好，主要成分为甲基环己烷，具有笔头拔帽设计，规格：≥4ml。</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r>
      <w:tr>
        <w:tblPrEx>
          <w:tblCellMar>
            <w:top w:w="0" w:type="dxa"/>
            <w:left w:w="108" w:type="dxa"/>
            <w:bottom w:w="0" w:type="dxa"/>
            <w:right w:w="108" w:type="dxa"/>
          </w:tblCellMar>
        </w:tblPrEx>
        <w:trPr>
          <w:trHeight w:val="112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双面胶</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1.适用于用来粘贴发票、手工制作等，采用棉纸双面涂以热熔性压敏胶处理而成，≥80μm厚双面粘性涂层，粘力强、性能稳定、耐用易撕，规格：≥1.8cm×9.1m。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液体胶水</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1.适用于用来粘贴发票、手工制作等，主要成分为聚乙烯醇（PVAL）+聚氯乙烯（PVC）罐体，笔刷型，规格：≥80g。</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铅笔1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1.适用于绘画或素描，六角原木杆，石墨铅芯，规格：≥174mm。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铅笔2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1.适用于写字或绘画，塑料三角杆，石墨铅芯，规格：≥174mm。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橡皮擦</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1.适用于清除铅笔笔迹，采用树脂材料，柔韧性强，碎屑少，易清理。</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签字笔</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1.适用于签字或者签样，出墨顺畅不易断，油墨防水速干，笔头线幅：≤0.7mm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中性笔芯</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1.适用于签字或者签样，出墨顺畅不易断，油墨防水速干，笔头线幅：≤0.7mm。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按挚式签字笔</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1.适用于签字或者签样，具有按动设计，出墨顺畅不易断，油墨防水速干，笔头线幅：≤0.5mm。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12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圆珠笔</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1.适用于写字、画画、做笔记等，笔杆采用塑料材质，具有按动设计，金属弹簧，记忆回行，出墨顺畅不易断，油墨防水速干，规格：≥136mm。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记号笔</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1.适用于作记号或标志，笔身采用树脂材质，颜色≥3种，出墨顺畅不易断，油墨防水速干。</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r>
      <w:tr>
        <w:tblPrEx>
          <w:tblCellMar>
            <w:top w:w="0" w:type="dxa"/>
            <w:left w:w="108" w:type="dxa"/>
            <w:bottom w:w="0" w:type="dxa"/>
            <w:right w:w="108" w:type="dxa"/>
          </w:tblCellMar>
        </w:tblPrEx>
        <w:trPr>
          <w:trHeight w:val="112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钢笔</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1.适用于书写文字，笔身采用金属材质，笔尖采用铱金材质，可脱卸式推拉吸墨，可换墨囊，出墨顺畅不易断，墨水防水速干。</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w:t>
            </w:r>
          </w:p>
        </w:tc>
      </w:tr>
      <w:tr>
        <w:tblPrEx>
          <w:tblCellMar>
            <w:top w:w="0" w:type="dxa"/>
            <w:left w:w="108" w:type="dxa"/>
            <w:bottom w:w="0" w:type="dxa"/>
            <w:right w:w="108" w:type="dxa"/>
          </w:tblCellMar>
        </w:tblPrEx>
        <w:trPr>
          <w:trHeight w:val="37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碳素墨水</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瓶</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1.适用于书写文字，颜色≥3种，规格：≥50ml。</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笔筒</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1.适用于存放笔、铅笔、钢笔、马克笔等，采用烤漆钢材，规格：≥220mm×140mm×100mm。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荣誉证书</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1.适用于记录得主的荣誉，封面采用绒布材质，牡丹花边，规格：≥12K。</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荣誉证书芯</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1.适用于牡丹花边荣誉证书内芯。</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r>
      <w:tr>
        <w:tblPrEx>
          <w:tblCellMar>
            <w:top w:w="0" w:type="dxa"/>
            <w:left w:w="108" w:type="dxa"/>
            <w:bottom w:w="0" w:type="dxa"/>
            <w:right w:w="108" w:type="dxa"/>
          </w:tblCellMar>
        </w:tblPrEx>
        <w:trPr>
          <w:trHeight w:val="112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美工刀</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把</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1.适用于手工艺、美术、印刷和模型制作，刀柄采用塑料材质，刀片采用碳素工具钢材质，设置自动锁定功能，具有尾盖折刀槽设计，规格：≥163mm×35mm。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水果刀</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1.适用于切削水果、蔬菜、瓜等，刀柄采用塑料材质，刀片采用不锈钢材质，刀宽：≥17mm。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r>
      <w:tr>
        <w:tblPrEx>
          <w:tblCellMar>
            <w:top w:w="0" w:type="dxa"/>
            <w:left w:w="108" w:type="dxa"/>
            <w:bottom w:w="0" w:type="dxa"/>
            <w:right w:w="108" w:type="dxa"/>
          </w:tblCellMar>
        </w:tblPrEx>
        <w:trPr>
          <w:trHeight w:val="112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切纸刀</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1.适用于裁切纸张、照片、美工卡纸、冷热裱纸等，刀片采用冷轧钢刀，手柄采用包胶技术，具有安全锁，定位标尺刻度清晰，底盘具有防滑胶垫，可调节尺寸大小。</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120</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卷笔刀</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1.适用于削铅笔、彩笔，双孔设计，外壳采用塑料材质，刀片采用钨钢材质，储屑槽可视内部、看清削笔状态。</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r>
      <w:tr>
        <w:tblPrEx>
          <w:tblCellMar>
            <w:top w:w="0" w:type="dxa"/>
            <w:left w:w="108" w:type="dxa"/>
            <w:bottom w:w="0" w:type="dxa"/>
            <w:right w:w="108" w:type="dxa"/>
          </w:tblCellMar>
        </w:tblPrEx>
        <w:trPr>
          <w:trHeight w:val="112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卡纸</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包</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1.适用于手绘、手工DIY、手抄报等，多色可选，纸张采用原生木浆，打印效果好，纸张进出不卡纸，具有一定硬挺度，规格：A4、≥180g、100张/包。</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w:t>
            </w:r>
          </w:p>
        </w:tc>
      </w:tr>
      <w:tr>
        <w:tblPrEx>
          <w:tblCellMar>
            <w:top w:w="0" w:type="dxa"/>
            <w:left w:w="108" w:type="dxa"/>
            <w:bottom w:w="0" w:type="dxa"/>
            <w:right w:w="108" w:type="dxa"/>
          </w:tblCellMar>
        </w:tblPrEx>
        <w:trPr>
          <w:trHeight w:val="150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彩色打印纸</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包</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用于打印单据，纸张采用原生木浆，241彩色打印纸分为一等分、二等分、三等分，激光切边，孔位精准，锁码紧，打印不易移位，过机顺畅，撕裂线采用钢刀压痕，精准易撕，不易破损，规格：≥1000张/包。</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彩色复印纸</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包</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1.适用于用于复印文字，纸张采用原生木浆，多色可选，规格：A4、≥80g、≥100张/包。</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w:t>
            </w:r>
          </w:p>
        </w:tc>
      </w:tr>
      <w:tr>
        <w:tblPrEx>
          <w:tblCellMar>
            <w:top w:w="0" w:type="dxa"/>
            <w:left w:w="108" w:type="dxa"/>
            <w:bottom w:w="0" w:type="dxa"/>
            <w:right w:w="108" w:type="dxa"/>
          </w:tblCellMar>
        </w:tblPrEx>
        <w:trPr>
          <w:trHeight w:val="187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标签</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分类标记，粘性强，激光切线，易撕取，颜色≥2种；单枚标签规格：≥32×11mm，单张≥48枚标签；单枚标签规格：≥39×25mm，单张≥24枚标签；单枚标签规格：≥29×25mm，单张≥32枚标签；单枚标签规格：≥67×57mm，单张≥6枚标签。</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r>
      <w:tr>
        <w:tblPrEx>
          <w:tblCellMar>
            <w:top w:w="0" w:type="dxa"/>
            <w:left w:w="108" w:type="dxa"/>
            <w:bottom w:w="0" w:type="dxa"/>
            <w:right w:w="108" w:type="dxa"/>
          </w:tblCellMar>
        </w:tblPrEx>
        <w:trPr>
          <w:trHeight w:val="112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皮纹纸</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1.适用于合同文件封面，纸张采用原生木浆，具有凹凸纹路，挺度强，厚度均匀，纸张平整，表面光滑不起毛，过机顺畅，规格：A4。</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w:t>
            </w:r>
          </w:p>
        </w:tc>
      </w:tr>
      <w:tr>
        <w:tblPrEx>
          <w:tblCellMar>
            <w:top w:w="0" w:type="dxa"/>
            <w:left w:w="108" w:type="dxa"/>
            <w:bottom w:w="0" w:type="dxa"/>
            <w:right w:w="108" w:type="dxa"/>
          </w:tblCellMar>
        </w:tblPrEx>
        <w:trPr>
          <w:trHeight w:val="112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无碳复写四联彩色打印纸</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件</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1.适用于针式打印机打印票据，采用原生木浆，孔距精准，不易移位，激光切边，过机顺畅，虚线切压，规格：三等份（1/3），241mm×93.1mm（±1mm），≥1000页/件。</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文件框1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1.适用于收纳文件档案，采用高抗冲聚苯乙烯（HIPS）材质，规格：四联。</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文件框2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1.适用于收纳文件档案，采用高抗冲聚苯乙烯（HIPS）材质，规格：三联。</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w:t>
            </w:r>
          </w:p>
        </w:tc>
      </w:tr>
      <w:tr>
        <w:tblPrEx>
          <w:tblCellMar>
            <w:top w:w="0" w:type="dxa"/>
            <w:left w:w="108" w:type="dxa"/>
            <w:bottom w:w="0" w:type="dxa"/>
            <w:right w:w="108" w:type="dxa"/>
          </w:tblCellMar>
        </w:tblPrEx>
        <w:trPr>
          <w:trHeight w:val="112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计算器</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1.适用于财务会计计算，屏幕采用LCD显示，12位数字化显示，机子表面采用不锈钢金属拉丝，机身具有双翘头设计，采用太阳能双电源，按键采用一体塑胶成型。</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r>
      <w:tr>
        <w:tblPrEx>
          <w:tblCellMar>
            <w:top w:w="0" w:type="dxa"/>
            <w:left w:w="108" w:type="dxa"/>
            <w:bottom w:w="0" w:type="dxa"/>
            <w:right w:w="108" w:type="dxa"/>
          </w:tblCellMar>
        </w:tblPrEx>
        <w:trPr>
          <w:trHeight w:val="7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铁书立</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本</w:t>
            </w:r>
          </w:p>
        </w:tc>
        <w:tc>
          <w:tcPr>
            <w:tcW w:w="3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1.适用于支撑书本或文件，采用≥1mm厚钢板材质，T字造型，脚垫具备防滑功能，规格：≥9寸。</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26.5</w:t>
            </w:r>
          </w:p>
        </w:tc>
      </w:tr>
    </w:tbl>
    <w:p>
      <w:pPr>
        <w:widowControl/>
        <w:textAlignment w:val="center"/>
        <w:rPr>
          <w:rFonts w:hint="eastAsia" w:ascii="宋体" w:hAnsi="宋体" w:cs="宋体"/>
          <w:b/>
          <w:sz w:val="24"/>
          <w:szCs w:val="24"/>
        </w:rPr>
      </w:pPr>
      <w:r>
        <w:rPr>
          <w:rFonts w:hint="eastAsia" w:ascii="仿宋" w:hAnsi="仿宋" w:eastAsia="仿宋" w:cs="仿宋"/>
          <w:color w:val="000000"/>
          <w:kern w:val="0"/>
          <w:sz w:val="24"/>
          <w:szCs w:val="24"/>
          <w:lang w:bidi="ar"/>
        </w:rPr>
        <w:t>注：以上采购品名为采购人常用办公用品，如遇未列入表中的特殊用品，则以市场批发单价乘以</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成交下浮率</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进行结算。</w:t>
      </w:r>
      <w:bookmarkStart w:id="2" w:name="_GoBack"/>
      <w:bookmarkEnd w:id="2"/>
    </w:p>
    <w:p>
      <w:pPr>
        <w:spacing w:line="360" w:lineRule="auto"/>
        <w:rPr>
          <w:rFonts w:ascii="宋体" w:hAnsi="宋体" w:cs="宋体"/>
          <w:b/>
          <w:sz w:val="24"/>
          <w:szCs w:val="24"/>
        </w:rPr>
      </w:pPr>
      <w:r>
        <w:rPr>
          <w:rFonts w:hint="eastAsia" w:ascii="宋体" w:hAnsi="宋体" w:cs="宋体"/>
          <w:b/>
          <w:sz w:val="24"/>
          <w:szCs w:val="24"/>
        </w:rPr>
        <w:t>二、商务要求（实质性要求）：</w:t>
      </w:r>
    </w:p>
    <w:p>
      <w:pPr>
        <w:spacing w:line="360" w:lineRule="auto"/>
        <w:ind w:firstLine="480" w:firstLineChars="200"/>
        <w:rPr>
          <w:rFonts w:ascii="宋体" w:hAnsi="宋体" w:cs="宋体"/>
          <w:sz w:val="24"/>
        </w:rPr>
      </w:pPr>
      <w:r>
        <w:rPr>
          <w:rFonts w:hint="eastAsia" w:ascii="宋体" w:hAnsi="宋体" w:cs="宋体"/>
          <w:sz w:val="24"/>
        </w:rPr>
        <w:t>1.服务、交付时间和质保期：</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1.1 服务时间：1年（服务起止时间以合同签订为准）</w:t>
      </w:r>
      <w:r>
        <w:rPr>
          <w:rFonts w:hint="eastAsia" w:ascii="宋体" w:hAnsi="宋体" w:cs="宋体"/>
          <w:sz w:val="24"/>
          <w:lang w:eastAsia="zh-CN"/>
        </w:rPr>
        <w:t>（</w:t>
      </w:r>
      <w:r>
        <w:rPr>
          <w:rFonts w:hint="eastAsia" w:ascii="宋体" w:hAnsi="宋体" w:cs="宋体"/>
          <w:sz w:val="24"/>
          <w:lang w:val="en-US" w:eastAsia="zh-CN"/>
        </w:rPr>
        <w:t>服务期到或预算金额用完合同自动终止，以先到为准</w:t>
      </w:r>
      <w:r>
        <w:rPr>
          <w:rFonts w:hint="eastAsia" w:ascii="宋体" w:hAnsi="宋体" w:cs="宋体"/>
          <w:sz w:val="24"/>
          <w:lang w:eastAsia="zh-CN"/>
        </w:rPr>
        <w:t>）</w:t>
      </w:r>
    </w:p>
    <w:p>
      <w:pPr>
        <w:spacing w:line="360" w:lineRule="auto"/>
        <w:ind w:firstLine="480" w:firstLineChars="200"/>
        <w:rPr>
          <w:rFonts w:ascii="宋体" w:hAnsi="宋体" w:cs="宋体"/>
          <w:sz w:val="24"/>
        </w:rPr>
      </w:pPr>
      <w:r>
        <w:rPr>
          <w:rFonts w:hint="eastAsia" w:ascii="宋体" w:hAnsi="宋体" w:cs="宋体"/>
          <w:sz w:val="24"/>
        </w:rPr>
        <w:t>1.2 交付时间：采购人通知配送起2个日历天交付，急货需在12小时内交付。</w:t>
      </w:r>
    </w:p>
    <w:p>
      <w:pPr>
        <w:spacing w:line="360" w:lineRule="auto"/>
        <w:ind w:firstLine="480" w:firstLineChars="200"/>
        <w:rPr>
          <w:rFonts w:ascii="宋体" w:hAnsi="宋体" w:cs="宋体"/>
          <w:sz w:val="24"/>
        </w:rPr>
      </w:pPr>
      <w:r>
        <w:rPr>
          <w:rFonts w:hint="eastAsia" w:ascii="宋体" w:hAnsi="宋体" w:cs="宋体"/>
          <w:sz w:val="24"/>
        </w:rPr>
        <w:t>1.3 质保期：</w:t>
      </w:r>
      <w:r>
        <w:rPr>
          <w:rFonts w:hint="eastAsia" w:ascii="宋体" w:hAnsi="宋体" w:cs="宋体"/>
          <w:snapToGrid w:val="0"/>
          <w:sz w:val="24"/>
          <w:szCs w:val="24"/>
        </w:rPr>
        <w:t>制造商已经标注了有效期的，质保期以标注的有效期为准；制造商未标注有效期的，质保期不少于1年。</w:t>
      </w:r>
    </w:p>
    <w:p>
      <w:pPr>
        <w:spacing w:line="360" w:lineRule="auto"/>
        <w:ind w:firstLine="480" w:firstLineChars="200"/>
        <w:rPr>
          <w:rFonts w:ascii="宋体" w:hAnsi="宋体" w:cs="宋体"/>
          <w:sz w:val="24"/>
        </w:rPr>
      </w:pPr>
      <w:r>
        <w:rPr>
          <w:rFonts w:hint="eastAsia" w:ascii="宋体" w:hAnsi="宋体" w:cs="宋体"/>
          <w:sz w:val="24"/>
        </w:rPr>
        <w:t>2.服务地点：泸州市妇幼保健院（泸州市第二人民医院）</w:t>
      </w:r>
      <w:r>
        <w:rPr>
          <w:rFonts w:hint="eastAsia" w:ascii="宋体" w:hAnsi="宋体" w:cs="宋体"/>
          <w:sz w:val="24"/>
          <w:lang w:val="zh-CN"/>
        </w:rPr>
        <w:t>。</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3.付款方式：采用月结方式，采购人根据上月验收合格并入库货物据实结算，成交人提供合规发票起30日内，采购人支付至上月验收并入库金额的100%。</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4.验收：</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4.1 验收方</w:t>
      </w:r>
      <w:r>
        <w:rPr>
          <w:rFonts w:hint="eastAsia" w:ascii="宋体" w:hAnsi="宋体" w:cs="宋体"/>
          <w:sz w:val="24"/>
          <w:lang w:val="zh-CN"/>
        </w:rPr>
        <w:t>式：</w:t>
      </w:r>
      <w:r>
        <w:rPr>
          <w:rFonts w:hint="eastAsia" w:ascii="宋体" w:hAnsi="宋体" w:cs="宋体"/>
          <w:sz w:val="24"/>
        </w:rPr>
        <w:t>由采购人职能科室自行组织相关人员对每一次配送产品进行验收。</w:t>
      </w:r>
    </w:p>
    <w:p>
      <w:pPr>
        <w:autoSpaceDE w:val="0"/>
        <w:autoSpaceDN w:val="0"/>
        <w:adjustRightInd w:val="0"/>
        <w:spacing w:line="360" w:lineRule="auto"/>
        <w:ind w:firstLine="480" w:firstLineChars="200"/>
        <w:jc w:val="left"/>
        <w:rPr>
          <w:rFonts w:ascii="宋体" w:hAnsi="宋体" w:cs="宋体"/>
          <w:b/>
          <w:sz w:val="24"/>
          <w:szCs w:val="24"/>
        </w:rPr>
      </w:pPr>
      <w:r>
        <w:rPr>
          <w:rFonts w:hint="eastAsia" w:ascii="宋体" w:hAnsi="宋体" w:cs="宋体"/>
          <w:sz w:val="24"/>
        </w:rPr>
        <w:t>4.2 验收标准：按国家有关规定以及采购文件的服务质量要求和技术指标、响应文件及承诺与合同约定标准进行验收；双方如对服务质量要求和技术指标的约定标准有相互抵触或异议的事项，由采购人在采购文件与响应文件中按服务质量要求和技术指标比较优胜的原则确定该项的约定标准进行验收。</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5.违约责任</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5.1 甲乙双方均应遵守本合同，非因不可抗力而单方面终止执行合同的，将赔偿因违约给对方造成的实际损失，并向对方支付实际损失的违约金，如因乙方原因造成的，由甲方提请项目同级财政部门将其列入不良行为记录。</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5.2 乙方应严格遵守服务承诺，如有违约，将赔偿因服务违约给甲方造成的实际损失。</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5.3 服务期满且各项验收合格后，甲方应在合同约定的付款期限内及时支付合同款项，如因甲方原因造成付款延误的，乙方视情况在延迟付款期内每天按合同总额3‰的标准收取违约金。</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6.不可抗力</w:t>
      </w:r>
    </w:p>
    <w:p>
      <w:pPr>
        <w:spacing w:line="360" w:lineRule="auto"/>
        <w:ind w:firstLine="480" w:firstLineChars="200"/>
        <w:rPr>
          <w:rFonts w:ascii="宋体" w:hAnsi="宋体" w:cs="宋体"/>
          <w:sz w:val="24"/>
          <w:szCs w:val="24"/>
        </w:rPr>
      </w:pPr>
      <w:r>
        <w:rPr>
          <w:rFonts w:hint="eastAsia" w:ascii="宋体" w:hAnsi="宋体" w:cs="宋体"/>
          <w:sz w:val="24"/>
          <w:szCs w:val="24"/>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甲方同意以后，可以签订延期履行、部分履行补充合同或者不履行合同，并根据情况可部分或全部免于承担违约责任。</w:t>
      </w:r>
    </w:p>
    <w:p>
      <w:pPr>
        <w:spacing w:line="360" w:lineRule="auto"/>
        <w:ind w:firstLine="480" w:firstLineChars="200"/>
        <w:rPr>
          <w:rFonts w:ascii="宋体" w:hAnsi="宋体" w:cs="宋体"/>
          <w:bCs/>
          <w:sz w:val="24"/>
          <w:szCs w:val="24"/>
        </w:rPr>
      </w:pPr>
      <w:r>
        <w:rPr>
          <w:rFonts w:hint="eastAsia" w:ascii="宋体" w:hAnsi="宋体" w:cs="宋体"/>
          <w:bCs/>
          <w:sz w:val="24"/>
          <w:szCs w:val="24"/>
        </w:rPr>
        <w:t>7.争议</w:t>
      </w:r>
    </w:p>
    <w:p>
      <w:pPr>
        <w:spacing w:line="360" w:lineRule="auto"/>
        <w:ind w:firstLine="480" w:firstLineChars="200"/>
        <w:rPr>
          <w:rFonts w:ascii="宋体" w:hAnsi="宋体" w:cs="宋体"/>
          <w:sz w:val="24"/>
          <w:szCs w:val="24"/>
        </w:rPr>
      </w:pPr>
      <w:r>
        <w:rPr>
          <w:rFonts w:hint="eastAsia" w:ascii="宋体" w:hAnsi="宋体" w:cs="宋体"/>
          <w:sz w:val="24"/>
          <w:szCs w:val="24"/>
        </w:rPr>
        <w:t>7.1 因服务的质量问题发生争议，由具有法定资格条件的质量技术监督（检测）机构进行质量鉴定。服务符合标准的，鉴定费由甲方承担；服务不符合质量标准的，鉴定费由乙方承担。</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7.2 合同履行期间，若双方发生争议，双方本着友好合作的态度，对合同履行过程中发生的违约行为进行及时的协商解决或由有关部门调解解决，如不能协商解决可向甲方所在地法院通过法律诉讼解决。</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8.其他商务要求：投标人需在中标后向采购人本项目管理咨询服务单位（四川科灿医疗管理有限责任公司）支付管理咨询服务费，方可申请签订采购合同。项目管理咨询服务费金额=本项目预算金额*</w:t>
      </w:r>
      <w:r>
        <w:rPr>
          <w:rFonts w:hint="eastAsia" w:ascii="宋体" w:hAnsi="宋体" w:cs="宋体"/>
          <w:sz w:val="24"/>
          <w:szCs w:val="24"/>
          <w:lang w:eastAsia="zh-Hans"/>
        </w:rPr>
        <w:t>0.9</w:t>
      </w:r>
      <w:r>
        <w:rPr>
          <w:rFonts w:hint="eastAsia" w:ascii="宋体" w:hAnsi="宋体" w:cs="宋体"/>
          <w:sz w:val="24"/>
          <w:szCs w:val="24"/>
        </w:rPr>
        <w:t>3</w:t>
      </w:r>
      <w:r>
        <w:rPr>
          <w:rFonts w:hint="eastAsia" w:ascii="宋体" w:hAnsi="宋体" w:cs="宋体"/>
          <w:sz w:val="24"/>
          <w:szCs w:val="24"/>
          <w:lang w:eastAsia="zh-Hans"/>
        </w:rPr>
        <w:t>%</w:t>
      </w:r>
      <w:r>
        <w:rPr>
          <w:rFonts w:hint="eastAsia" w:ascii="宋体" w:hAnsi="宋体" w:cs="宋体"/>
          <w:sz w:val="24"/>
          <w:szCs w:val="24"/>
        </w:rPr>
        <w:t>（单位人民币）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ODhkZjc3NjdhMWUwMmVmN2RhYTE1ZDU3NTdmMzYifQ=="/>
  </w:docVars>
  <w:rsids>
    <w:rsidRoot w:val="7DA4721A"/>
    <w:rsid w:val="76C53359"/>
    <w:rsid w:val="76DD51DA"/>
    <w:rsid w:val="7DA4721A"/>
    <w:rsid w:val="7EE76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500" w:lineRule="exact"/>
      <w:outlineLvl w:val="1"/>
    </w:pPr>
    <w:rPr>
      <w:rFonts w:ascii="Arial" w:hAnsi="Arial" w:eastAsia="黑体"/>
      <w:b/>
      <w:sz w:val="28"/>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2024-09-14T09:34:00Z</dcterms:created>
  <dc:creator>黄迅</dc:creator>
  <cp:lastModifiedBy>黄迅</cp:lastModifiedBy>
  <dcterms:modified xsi:type="dcterms:W3CDTF">2024-09-14T09:43:08Z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B0AA15FBF10B40A59ACA7EDF35F12CE6_11</vt:lpwstr>
  </property>
</Properties>
</file>