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5"/>
        <w:rPr>
          <w:rFonts w:hint="eastAsia" w:ascii="宋体" w:hAnsi="宋体" w:cs="宋体"/>
          <w:snapToGrid w:val="0"/>
          <w:sz w:val="24"/>
          <w:lang w:bidi="ar"/>
        </w:rPr>
      </w:pPr>
    </w:p>
    <w:p w14:paraId="2CD34E01">
      <w:pPr>
        <w:pStyle w:val="5"/>
        <w:rPr>
          <w:rFonts w:hint="eastAsia" w:ascii="宋体" w:hAnsi="宋体" w:cs="宋体"/>
          <w:snapToGrid w:val="0"/>
          <w:sz w:val="24"/>
          <w:lang w:bidi="ar"/>
        </w:rPr>
      </w:pPr>
    </w:p>
    <w:p w14:paraId="66D298D6">
      <w:pPr>
        <w:pStyle w:val="5"/>
        <w:rPr>
          <w:rFonts w:hint="eastAsia" w:ascii="宋体" w:hAnsi="宋体" w:cs="宋体"/>
          <w:snapToGrid w:val="0"/>
          <w:sz w:val="24"/>
          <w:lang w:bidi="ar"/>
        </w:rPr>
      </w:pPr>
    </w:p>
    <w:p w14:paraId="589D2F27">
      <w:pPr>
        <w:pStyle w:val="5"/>
        <w:rPr>
          <w:rFonts w:hint="eastAsia" w:ascii="宋体" w:hAnsi="宋体" w:cs="宋体"/>
          <w:snapToGrid w:val="0"/>
          <w:sz w:val="24"/>
          <w:lang w:bidi="ar"/>
        </w:rPr>
      </w:pPr>
    </w:p>
    <w:p w14:paraId="675D4084">
      <w:pPr>
        <w:pStyle w:val="5"/>
        <w:rPr>
          <w:rFonts w:hint="eastAsia" w:ascii="宋体" w:hAnsi="宋体" w:cs="宋体"/>
          <w:snapToGrid w:val="0"/>
          <w:sz w:val="24"/>
          <w:lang w:bidi="ar"/>
        </w:rPr>
      </w:pPr>
    </w:p>
    <w:p w14:paraId="3191F8B5">
      <w:pPr>
        <w:pStyle w:val="5"/>
        <w:rPr>
          <w:rFonts w:hint="eastAsia" w:ascii="宋体" w:hAnsi="宋体" w:cs="宋体"/>
          <w:snapToGrid w:val="0"/>
          <w:sz w:val="24"/>
          <w:lang w:bidi="ar"/>
        </w:rPr>
      </w:pPr>
    </w:p>
    <w:p w14:paraId="743ECEF3">
      <w:pPr>
        <w:pStyle w:val="5"/>
        <w:rPr>
          <w:rFonts w:hint="eastAsia" w:ascii="宋体" w:hAnsi="宋体" w:cs="宋体"/>
          <w:snapToGrid w:val="0"/>
          <w:sz w:val="24"/>
          <w:lang w:bidi="ar"/>
        </w:rPr>
      </w:pPr>
    </w:p>
    <w:p w14:paraId="2508DDFF">
      <w:pPr>
        <w:pStyle w:val="5"/>
        <w:rPr>
          <w:rFonts w:hint="eastAsia" w:ascii="宋体" w:hAnsi="宋体" w:cs="宋体"/>
          <w:snapToGrid w:val="0"/>
          <w:sz w:val="24"/>
          <w:lang w:bidi="ar"/>
        </w:rPr>
      </w:pPr>
    </w:p>
    <w:p w14:paraId="5EA77AAA">
      <w:pPr>
        <w:pStyle w:val="5"/>
        <w:rPr>
          <w:rFonts w:hint="eastAsia" w:ascii="宋体" w:hAnsi="宋体" w:cs="宋体"/>
          <w:snapToGrid w:val="0"/>
          <w:sz w:val="24"/>
          <w:lang w:bidi="ar"/>
        </w:rPr>
      </w:pPr>
    </w:p>
    <w:p w14:paraId="36761B55">
      <w:pPr>
        <w:pStyle w:val="5"/>
        <w:rPr>
          <w:rFonts w:hint="eastAsia" w:ascii="宋体" w:hAnsi="宋体" w:cs="宋体"/>
          <w:snapToGrid w:val="0"/>
          <w:sz w:val="24"/>
          <w:lang w:bidi="ar"/>
        </w:rPr>
      </w:pPr>
    </w:p>
    <w:p w14:paraId="64573437">
      <w:pPr>
        <w:pStyle w:val="5"/>
        <w:rPr>
          <w:rFonts w:hint="eastAsia" w:ascii="宋体" w:hAnsi="宋体" w:cs="宋体"/>
          <w:snapToGrid w:val="0"/>
          <w:sz w:val="24"/>
          <w:lang w:bidi="ar"/>
        </w:rPr>
      </w:pPr>
    </w:p>
    <w:p w14:paraId="1F84683D">
      <w:pPr>
        <w:pStyle w:val="5"/>
        <w:rPr>
          <w:rFonts w:hint="eastAsia" w:ascii="宋体" w:hAnsi="宋体" w:cs="宋体"/>
          <w:snapToGrid w:val="0"/>
          <w:sz w:val="24"/>
          <w:lang w:bidi="ar"/>
        </w:rPr>
      </w:pPr>
    </w:p>
    <w:p w14:paraId="643BC34D">
      <w:pPr>
        <w:pStyle w:val="5"/>
        <w:rPr>
          <w:rFonts w:hint="eastAsia" w:ascii="宋体" w:hAnsi="宋体" w:cs="宋体"/>
          <w:snapToGrid w:val="0"/>
          <w:sz w:val="24"/>
          <w:lang w:bidi="ar"/>
        </w:rPr>
      </w:pPr>
    </w:p>
    <w:p w14:paraId="704DFAC0">
      <w:pPr>
        <w:pStyle w:val="5"/>
        <w:rPr>
          <w:rFonts w:hint="eastAsia" w:ascii="宋体" w:hAnsi="宋体" w:cs="宋体"/>
          <w:snapToGrid w:val="0"/>
          <w:sz w:val="24"/>
          <w:lang w:bidi="ar"/>
        </w:rPr>
      </w:pPr>
    </w:p>
    <w:p w14:paraId="3B514AA2">
      <w:pPr>
        <w:pStyle w:val="5"/>
        <w:rPr>
          <w:rFonts w:hint="eastAsia" w:ascii="宋体" w:hAnsi="宋体" w:cs="宋体"/>
          <w:snapToGrid w:val="0"/>
          <w:sz w:val="24"/>
          <w:lang w:bidi="ar"/>
        </w:rPr>
      </w:pPr>
    </w:p>
    <w:p w14:paraId="7132F7EE">
      <w:pPr>
        <w:pStyle w:val="5"/>
        <w:rPr>
          <w:rFonts w:hint="eastAsia" w:ascii="宋体" w:hAnsi="宋体" w:cs="宋体"/>
          <w:snapToGrid w:val="0"/>
          <w:sz w:val="24"/>
          <w:lang w:bidi="ar"/>
        </w:rPr>
      </w:pPr>
    </w:p>
    <w:p w14:paraId="02AF562C">
      <w:pPr>
        <w:pStyle w:val="5"/>
        <w:rPr>
          <w:rFonts w:hint="eastAsia" w:ascii="宋体" w:hAnsi="宋体" w:cs="宋体"/>
          <w:snapToGrid w:val="0"/>
          <w:sz w:val="24"/>
          <w:lang w:bidi="ar"/>
        </w:rPr>
      </w:pPr>
    </w:p>
    <w:p w14:paraId="5E800F23">
      <w:pPr>
        <w:pStyle w:val="5"/>
        <w:rPr>
          <w:rFonts w:hint="eastAsia" w:ascii="宋体" w:hAnsi="宋体" w:cs="宋体"/>
          <w:snapToGrid w:val="0"/>
          <w:sz w:val="24"/>
          <w:lang w:bidi="ar"/>
        </w:rPr>
      </w:pPr>
    </w:p>
    <w:p w14:paraId="2FB03221">
      <w:pPr>
        <w:pStyle w:val="5"/>
        <w:rPr>
          <w:rFonts w:hint="eastAsia" w:ascii="宋体" w:hAnsi="宋体" w:cs="宋体"/>
          <w:snapToGrid w:val="0"/>
          <w:sz w:val="24"/>
          <w:lang w:bidi="ar"/>
        </w:rPr>
      </w:pPr>
    </w:p>
    <w:p w14:paraId="7E0D02EC">
      <w:pPr>
        <w:pStyle w:val="5"/>
        <w:rPr>
          <w:rFonts w:hint="eastAsia" w:ascii="宋体" w:hAnsi="宋体" w:cs="宋体"/>
          <w:snapToGrid w:val="0"/>
          <w:sz w:val="24"/>
          <w:lang w:bidi="ar"/>
        </w:rPr>
      </w:pPr>
    </w:p>
    <w:p w14:paraId="24FA091A">
      <w:pPr>
        <w:pStyle w:val="5"/>
        <w:rPr>
          <w:rFonts w:hint="eastAsia" w:ascii="宋体" w:hAnsi="宋体" w:cs="宋体"/>
          <w:snapToGrid w:val="0"/>
          <w:sz w:val="24"/>
          <w:lang w:bidi="ar"/>
        </w:rPr>
      </w:pPr>
    </w:p>
    <w:p w14:paraId="0BFF0FF2">
      <w:pPr>
        <w:pStyle w:val="5"/>
        <w:rPr>
          <w:rFonts w:hint="eastAsia" w:ascii="宋体" w:hAnsi="宋体" w:cs="宋体"/>
          <w:snapToGrid w:val="0"/>
          <w:sz w:val="24"/>
          <w:lang w:bidi="ar"/>
        </w:rPr>
      </w:pPr>
    </w:p>
    <w:p w14:paraId="4C4574BF">
      <w:pPr>
        <w:pStyle w:val="5"/>
        <w:rPr>
          <w:rFonts w:hint="eastAsia" w:ascii="宋体" w:hAnsi="宋体" w:cs="宋体"/>
          <w:snapToGrid w:val="0"/>
          <w:sz w:val="24"/>
          <w:lang w:bidi="ar"/>
        </w:rPr>
      </w:pPr>
    </w:p>
    <w:p w14:paraId="68AB656B">
      <w:pPr>
        <w:pStyle w:val="5"/>
        <w:rPr>
          <w:rFonts w:hint="eastAsia" w:ascii="宋体" w:hAnsi="宋体" w:cs="宋体"/>
          <w:snapToGrid w:val="0"/>
          <w:sz w:val="24"/>
          <w:lang w:bidi="ar"/>
        </w:rPr>
      </w:pPr>
    </w:p>
    <w:p w14:paraId="14B47C8F">
      <w:pPr>
        <w:pStyle w:val="5"/>
        <w:rPr>
          <w:rFonts w:hint="eastAsia" w:ascii="宋体" w:hAnsi="宋体" w:cs="宋体"/>
          <w:snapToGrid w:val="0"/>
          <w:sz w:val="24"/>
          <w:lang w:bidi="ar"/>
        </w:rPr>
      </w:pPr>
    </w:p>
    <w:p w14:paraId="60C8EDFA">
      <w:pPr>
        <w:pStyle w:val="5"/>
        <w:rPr>
          <w:rFonts w:hint="eastAsia" w:ascii="宋体" w:hAnsi="宋体" w:cs="宋体"/>
          <w:snapToGrid w:val="0"/>
          <w:sz w:val="24"/>
          <w:lang w:bidi="ar"/>
        </w:rPr>
      </w:pPr>
    </w:p>
    <w:p w14:paraId="4FA3748A">
      <w:pPr>
        <w:pStyle w:val="5"/>
        <w:rPr>
          <w:rFonts w:hint="eastAsia" w:ascii="宋体" w:hAnsi="宋体" w:cs="宋体"/>
          <w:snapToGrid w:val="0"/>
          <w:sz w:val="24"/>
          <w:lang w:bidi="ar"/>
        </w:rPr>
      </w:pPr>
    </w:p>
    <w:p w14:paraId="2E5B90BF">
      <w:pPr>
        <w:pStyle w:val="5"/>
        <w:rPr>
          <w:rFonts w:hint="eastAsia" w:ascii="宋体" w:hAnsi="宋体" w:cs="宋体"/>
          <w:snapToGrid w:val="0"/>
          <w:sz w:val="24"/>
          <w:lang w:bidi="ar"/>
        </w:rPr>
      </w:pPr>
    </w:p>
    <w:p w14:paraId="179914D0">
      <w:pPr>
        <w:pStyle w:val="5"/>
        <w:rPr>
          <w:rFonts w:hint="eastAsia" w:ascii="宋体" w:hAnsi="宋体" w:cs="宋体"/>
          <w:snapToGrid w:val="0"/>
          <w:sz w:val="24"/>
          <w:lang w:bidi="ar"/>
        </w:rPr>
      </w:pPr>
    </w:p>
    <w:p w14:paraId="7CE89384">
      <w:pPr>
        <w:pStyle w:val="5"/>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hint="eastAsia" w:ascii="宋体" w:hAnsi="宋体" w:cs="宋体"/>
          <w:snapToGrid w:val="0"/>
          <w:sz w:val="24"/>
          <w:lang w:bidi="ar"/>
        </w:rPr>
      </w:pPr>
      <w:r>
        <w:rPr>
          <w:rFonts w:hint="eastAsia" w:ascii="宋体" w:hAnsi="宋体" w:cs="宋体"/>
          <w:snapToGrid w:val="0"/>
          <w:sz w:val="24"/>
          <w:lang w:bidi="ar"/>
        </w:rPr>
        <w:t>日    期：XXXX。</w:t>
      </w:r>
    </w:p>
    <w:p w14:paraId="0C16E0DE">
      <w:pPr>
        <w:spacing w:line="360" w:lineRule="auto"/>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2"/>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2"/>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2"/>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2"/>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2"/>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7914C6B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w:t>
      </w:r>
      <w:r>
        <w:rPr>
          <w:rFonts w:hint="eastAsia" w:ascii="宋体" w:hAnsi="宋体" w:cs="宋体"/>
          <w:snapToGrid w:val="0"/>
          <w:sz w:val="24"/>
          <w:szCs w:val="24"/>
          <w:highlight w:val="none"/>
          <w:lang w:val="en-US" w:eastAsia="zh-CN"/>
        </w:rPr>
        <w:t>0.3</w:t>
      </w:r>
      <w:r>
        <w:rPr>
          <w:rFonts w:hint="eastAsia" w:ascii="宋体" w:hAnsi="宋体" w:cs="宋体"/>
          <w:snapToGrid w:val="0"/>
          <w:sz w:val="24"/>
          <w:szCs w:val="24"/>
          <w:highlight w:val="none"/>
        </w:rPr>
        <w:t>‰的标准收取违约金，违约金总额不超过合同价款的10%。</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w:t>
      </w:r>
      <w:r>
        <w:rPr>
          <w:rFonts w:hint="eastAsia" w:ascii="宋体" w:hAnsi="宋体" w:cs="宋体"/>
          <w:snapToGrid w:val="0"/>
          <w:sz w:val="24"/>
          <w:szCs w:val="24"/>
          <w:highlight w:val="none"/>
          <w:lang w:val="en-US" w:eastAsia="zh-CN"/>
        </w:rPr>
        <w:t>0.3</w:t>
      </w:r>
      <w:r>
        <w:rPr>
          <w:rFonts w:hint="eastAsia" w:ascii="宋体" w:hAnsi="宋体" w:cs="宋体"/>
          <w:snapToGrid w:val="0"/>
          <w:sz w:val="24"/>
          <w:szCs w:val="24"/>
          <w:highlight w:val="none"/>
        </w:rPr>
        <w:t>‰的标准收取违约金，违约金总额不超过合同价款的10%。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498B28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57F8924A">
      <w:pPr>
        <w:rPr>
          <w:rFonts w:hint="eastAsia" w:ascii="宋体" w:hAnsi="宋体" w:eastAsia="宋体" w:cs="宋体"/>
          <w:snapToGrid w:val="0"/>
          <w:sz w:val="24"/>
          <w:highlight w:val="none"/>
          <w:lang w:eastAsia="zh-CN" w:bidi="ar"/>
        </w:rPr>
      </w:pPr>
      <w:bookmarkStart w:id="0" w:name="_GoBack"/>
      <w:bookmarkEnd w:id="0"/>
      <w:r>
        <w:rPr>
          <w:rFonts w:hint="eastAsia" w:ascii="宋体" w:hAnsi="宋体" w:cs="宋体"/>
          <w:snapToGrid w:val="0"/>
          <w:sz w:val="24"/>
          <w:lang w:bidi="ar"/>
        </w:rPr>
        <w:t>格式</w:t>
      </w:r>
      <w:r>
        <w:rPr>
          <w:rFonts w:hint="eastAsia" w:ascii="宋体" w:hAnsi="宋体" w:cs="宋体"/>
          <w:snapToGrid w:val="0"/>
          <w:sz w:val="24"/>
          <w:lang w:val="en-US" w:eastAsia="zh-CN" w:bidi="ar"/>
        </w:rPr>
        <w:t>4</w:t>
      </w:r>
    </w:p>
    <w:p w14:paraId="7DEC3D04">
      <w:pPr>
        <w:jc w:val="center"/>
        <w:rPr>
          <w:rFonts w:ascii="宋体" w:hAnsi="宋体" w:cs="宋体"/>
          <w:snapToGrid w:val="0"/>
          <w:sz w:val="24"/>
          <w:highlight w:val="none"/>
          <w:lang w:bidi="ar"/>
        </w:rPr>
      </w:pPr>
      <w:r>
        <w:rPr>
          <w:rFonts w:hint="eastAsia" w:ascii="宋体" w:hAnsi="宋体" w:cs="宋体"/>
          <w:snapToGrid w:val="0"/>
          <w:sz w:val="24"/>
          <w:highlight w:val="none"/>
          <w:lang w:bidi="ar"/>
        </w:rPr>
        <w:t>报价表</w:t>
      </w:r>
    </w:p>
    <w:tbl>
      <w:tblPr>
        <w:tblStyle w:val="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950"/>
        <w:gridCol w:w="2433"/>
        <w:gridCol w:w="1571"/>
        <w:gridCol w:w="1779"/>
        <w:gridCol w:w="1104"/>
      </w:tblGrid>
      <w:tr w14:paraId="57DC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822" w:type="dxa"/>
            <w:noWrap w:val="0"/>
            <w:vAlign w:val="center"/>
          </w:tcPr>
          <w:p w14:paraId="2B8D7828">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bidi="ar"/>
              </w:rPr>
              <w:t>项目名称</w:t>
            </w:r>
          </w:p>
        </w:tc>
        <w:tc>
          <w:tcPr>
            <w:tcW w:w="950" w:type="dxa"/>
            <w:noWrap w:val="0"/>
            <w:vAlign w:val="center"/>
          </w:tcPr>
          <w:p w14:paraId="3E89EB16">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序号</w:t>
            </w:r>
          </w:p>
        </w:tc>
        <w:tc>
          <w:tcPr>
            <w:tcW w:w="2433" w:type="dxa"/>
            <w:noWrap w:val="0"/>
            <w:vAlign w:val="center"/>
          </w:tcPr>
          <w:p w14:paraId="73076074">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产品名称</w:t>
            </w:r>
          </w:p>
        </w:tc>
        <w:tc>
          <w:tcPr>
            <w:tcW w:w="1571" w:type="dxa"/>
            <w:shd w:val="clear" w:color="auto" w:fill="auto"/>
            <w:noWrap w:val="0"/>
            <w:vAlign w:val="center"/>
          </w:tcPr>
          <w:p w14:paraId="6A0CE4E1">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品牌/型号</w:t>
            </w:r>
          </w:p>
        </w:tc>
        <w:tc>
          <w:tcPr>
            <w:tcW w:w="1779" w:type="dxa"/>
            <w:shd w:val="clear" w:color="auto" w:fill="auto"/>
            <w:noWrap w:val="0"/>
            <w:vAlign w:val="center"/>
          </w:tcPr>
          <w:p w14:paraId="2B91386E">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报价</w:t>
            </w:r>
          </w:p>
        </w:tc>
        <w:tc>
          <w:tcPr>
            <w:tcW w:w="1104" w:type="dxa"/>
            <w:shd w:val="clear" w:color="auto" w:fill="auto"/>
            <w:noWrap w:val="0"/>
            <w:vAlign w:val="center"/>
          </w:tcPr>
          <w:p w14:paraId="2B47197C">
            <w:pPr>
              <w:spacing w:line="360" w:lineRule="auto"/>
              <w:jc w:val="center"/>
              <w:rPr>
                <w:rFonts w:hint="eastAsia" w:ascii="宋体" w:hAnsi="宋体" w:cs="宋体"/>
                <w:snapToGrid w:val="0"/>
                <w:sz w:val="24"/>
                <w:lang w:val="en-US" w:eastAsia="zh-CN" w:bidi="ar"/>
              </w:rPr>
            </w:pPr>
            <w:r>
              <w:rPr>
                <w:rFonts w:hint="eastAsia" w:ascii="宋体" w:hAnsi="宋体" w:cs="宋体"/>
                <w:snapToGrid w:val="0"/>
                <w:sz w:val="24"/>
                <w:lang w:val="en-US" w:eastAsia="zh-CN" w:bidi="ar"/>
              </w:rPr>
              <w:t>税率</w:t>
            </w:r>
          </w:p>
        </w:tc>
      </w:tr>
      <w:tr w14:paraId="4529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22" w:type="dxa"/>
            <w:vMerge w:val="restart"/>
            <w:shd w:val="clear" w:color="auto" w:fill="auto"/>
            <w:noWrap w:val="0"/>
            <w:vAlign w:val="center"/>
          </w:tcPr>
          <w:p w14:paraId="538E4F75">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2026年医用设备零配件和零星物资第九批采购项目</w:t>
            </w:r>
          </w:p>
        </w:tc>
        <w:tc>
          <w:tcPr>
            <w:tcW w:w="950" w:type="dxa"/>
            <w:shd w:val="clear" w:color="auto" w:fill="auto"/>
            <w:noWrap w:val="0"/>
            <w:vAlign w:val="center"/>
          </w:tcPr>
          <w:p w14:paraId="632F8D2C">
            <w:pPr>
              <w:spacing w:line="360" w:lineRule="auto"/>
              <w:jc w:val="center"/>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1</w:t>
            </w:r>
          </w:p>
        </w:tc>
        <w:tc>
          <w:tcPr>
            <w:tcW w:w="2433" w:type="dxa"/>
            <w:shd w:val="clear" w:color="auto" w:fill="auto"/>
            <w:noWrap w:val="0"/>
            <w:vAlign w:val="center"/>
          </w:tcPr>
          <w:p w14:paraId="1247D43B">
            <w:pPr>
              <w:spacing w:line="360" w:lineRule="auto"/>
              <w:jc w:val="center"/>
              <w:rPr>
                <w:rFonts w:hint="default" w:ascii="宋体" w:hAnsi="宋体" w:eastAsia="宋体" w:cs="宋体"/>
                <w:snapToGrid w:val="0"/>
                <w:sz w:val="24"/>
                <w:lang w:val="en-US" w:eastAsia="zh-CN" w:bidi="ar"/>
              </w:rPr>
            </w:pPr>
            <w:r>
              <w:rPr>
                <w:rFonts w:hint="eastAsia" w:ascii="宋体" w:hAnsi="宋体" w:eastAsia="宋体" w:cs="宋体"/>
                <w:snapToGrid w:val="0"/>
                <w:sz w:val="24"/>
                <w:lang w:val="en-US" w:eastAsia="zh-CN" w:bidi="ar"/>
              </w:rPr>
              <w:t>气体浓度检测仪</w:t>
            </w:r>
          </w:p>
        </w:tc>
        <w:tc>
          <w:tcPr>
            <w:tcW w:w="1571" w:type="dxa"/>
            <w:shd w:val="clear" w:color="auto" w:fill="auto"/>
            <w:noWrap w:val="0"/>
            <w:vAlign w:val="center"/>
          </w:tcPr>
          <w:p w14:paraId="10550CB5">
            <w:pPr>
              <w:spacing w:line="360" w:lineRule="auto"/>
              <w:ind w:firstLine="480" w:firstLineChars="200"/>
              <w:jc w:val="center"/>
              <w:rPr>
                <w:rFonts w:hint="eastAsia" w:ascii="宋体" w:hAnsi="宋体" w:cs="宋体"/>
                <w:snapToGrid w:val="0"/>
                <w:sz w:val="24"/>
                <w:lang w:val="en-US" w:eastAsia="zh-CN" w:bidi="ar"/>
              </w:rPr>
            </w:pPr>
          </w:p>
        </w:tc>
        <w:tc>
          <w:tcPr>
            <w:tcW w:w="1779" w:type="dxa"/>
            <w:vMerge w:val="restart"/>
            <w:shd w:val="clear" w:color="auto" w:fill="auto"/>
            <w:noWrap w:val="0"/>
            <w:vAlign w:val="center"/>
          </w:tcPr>
          <w:p w14:paraId="3A147859">
            <w:pPr>
              <w:spacing w:line="360" w:lineRule="auto"/>
              <w:jc w:val="both"/>
              <w:rPr>
                <w:rFonts w:hint="eastAsia" w:ascii="宋体" w:hAnsi="宋体" w:cs="宋体"/>
                <w:snapToGrid w:val="0"/>
                <w:sz w:val="24"/>
                <w:lang w:val="en-US" w:eastAsia="zh-CN" w:bidi="ar"/>
              </w:rPr>
            </w:pPr>
            <w:r>
              <w:rPr>
                <w:rFonts w:hint="eastAsia" w:ascii="宋体" w:hAnsi="宋体" w:cs="宋体"/>
                <w:snapToGrid w:val="0"/>
                <w:sz w:val="24"/>
                <w:lang w:val="en-US" w:eastAsia="zh-CN" w:bidi="ar"/>
              </w:rPr>
              <w:t xml:space="preserve">在单价限价的基础上，整体下浮 </w:t>
            </w:r>
            <w:r>
              <w:rPr>
                <w:rFonts w:hint="eastAsia" w:ascii="宋体" w:hAnsi="宋体" w:cs="宋体"/>
                <w:snapToGrid w:val="0"/>
                <w:sz w:val="24"/>
                <w:u w:val="single"/>
                <w:lang w:val="en-US" w:eastAsia="zh-CN" w:bidi="ar"/>
              </w:rPr>
              <w:t xml:space="preserve">     </w:t>
            </w:r>
            <w:r>
              <w:rPr>
                <w:rFonts w:hint="eastAsia" w:ascii="宋体" w:hAnsi="宋体" w:cs="宋体"/>
                <w:snapToGrid w:val="0"/>
                <w:sz w:val="24"/>
                <w:lang w:val="en-US" w:eastAsia="zh-CN" w:bidi="ar"/>
              </w:rPr>
              <w:t>%</w:t>
            </w:r>
          </w:p>
        </w:tc>
        <w:tc>
          <w:tcPr>
            <w:tcW w:w="1104" w:type="dxa"/>
            <w:vMerge w:val="restart"/>
            <w:shd w:val="clear" w:color="auto" w:fill="auto"/>
            <w:noWrap w:val="0"/>
            <w:vAlign w:val="center"/>
          </w:tcPr>
          <w:p w14:paraId="7745E74F">
            <w:pPr>
              <w:spacing w:line="360" w:lineRule="auto"/>
              <w:jc w:val="both"/>
              <w:rPr>
                <w:rFonts w:hint="eastAsia" w:ascii="宋体" w:hAnsi="宋体" w:cs="宋体"/>
                <w:snapToGrid w:val="0"/>
                <w:sz w:val="24"/>
                <w:lang w:val="en-US" w:eastAsia="zh-CN" w:bidi="ar"/>
              </w:rPr>
            </w:pPr>
            <w:r>
              <w:rPr>
                <w:rFonts w:hint="eastAsia" w:ascii="宋体" w:hAnsi="宋体" w:cs="宋体"/>
                <w:snapToGrid w:val="0"/>
                <w:sz w:val="24"/>
                <w:u w:val="single"/>
                <w:lang w:val="en-US" w:eastAsia="zh-CN" w:bidi="ar"/>
              </w:rPr>
              <w:t xml:space="preserve">    </w:t>
            </w:r>
            <w:r>
              <w:rPr>
                <w:rFonts w:hint="eastAsia" w:ascii="宋体" w:hAnsi="宋体" w:cs="宋体"/>
                <w:snapToGrid w:val="0"/>
                <w:sz w:val="24"/>
                <w:lang w:bidi="ar"/>
              </w:rPr>
              <w:t>%</w:t>
            </w:r>
          </w:p>
        </w:tc>
      </w:tr>
      <w:tr w14:paraId="3160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22" w:type="dxa"/>
            <w:vMerge w:val="continue"/>
            <w:shd w:val="clear" w:color="auto" w:fill="auto"/>
            <w:noWrap w:val="0"/>
            <w:vAlign w:val="center"/>
          </w:tcPr>
          <w:p w14:paraId="4A05CF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950" w:type="dxa"/>
            <w:shd w:val="clear" w:color="auto" w:fill="auto"/>
            <w:noWrap w:val="0"/>
            <w:vAlign w:val="center"/>
          </w:tcPr>
          <w:p w14:paraId="14CA83FD">
            <w:pPr>
              <w:spacing w:line="360" w:lineRule="auto"/>
              <w:jc w:val="center"/>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2</w:t>
            </w:r>
          </w:p>
        </w:tc>
        <w:tc>
          <w:tcPr>
            <w:tcW w:w="2433" w:type="dxa"/>
            <w:shd w:val="clear" w:color="auto" w:fill="auto"/>
            <w:noWrap w:val="0"/>
            <w:vAlign w:val="center"/>
          </w:tcPr>
          <w:p w14:paraId="02B9FC33">
            <w:pPr>
              <w:spacing w:line="360" w:lineRule="auto"/>
              <w:jc w:val="center"/>
              <w:rPr>
                <w:rFonts w:hint="eastAsia" w:ascii="宋体" w:hAnsi="宋体" w:eastAsia="宋体" w:cs="宋体"/>
                <w:snapToGrid w:val="0"/>
                <w:sz w:val="24"/>
                <w:lang w:val="en-US" w:eastAsia="zh-CN" w:bidi="ar"/>
              </w:rPr>
            </w:pPr>
            <w:r>
              <w:rPr>
                <w:rFonts w:hint="eastAsia" w:ascii="宋体" w:hAnsi="宋体" w:eastAsia="宋体" w:cs="宋体"/>
                <w:snapToGrid w:val="0"/>
                <w:sz w:val="24"/>
                <w:lang w:val="en-US" w:eastAsia="zh-CN" w:bidi="ar"/>
              </w:rPr>
              <w:t>气瓶防倾倒绑带</w:t>
            </w:r>
          </w:p>
        </w:tc>
        <w:tc>
          <w:tcPr>
            <w:tcW w:w="1571" w:type="dxa"/>
            <w:shd w:val="clear" w:color="auto" w:fill="auto"/>
            <w:noWrap w:val="0"/>
            <w:vAlign w:val="center"/>
          </w:tcPr>
          <w:p w14:paraId="1273EE1E">
            <w:pPr>
              <w:spacing w:line="360" w:lineRule="auto"/>
              <w:jc w:val="both"/>
              <w:rPr>
                <w:rFonts w:hint="eastAsia" w:ascii="宋体" w:hAnsi="宋体" w:cs="宋体"/>
                <w:snapToGrid w:val="0"/>
                <w:sz w:val="24"/>
                <w:lang w:val="en-US" w:eastAsia="zh-CN" w:bidi="ar"/>
              </w:rPr>
            </w:pPr>
          </w:p>
        </w:tc>
        <w:tc>
          <w:tcPr>
            <w:tcW w:w="1779" w:type="dxa"/>
            <w:vMerge w:val="continue"/>
            <w:shd w:val="clear" w:color="auto" w:fill="auto"/>
            <w:noWrap w:val="0"/>
            <w:vAlign w:val="center"/>
          </w:tcPr>
          <w:p w14:paraId="12B1E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04" w:type="dxa"/>
            <w:vMerge w:val="continue"/>
            <w:shd w:val="clear" w:color="auto" w:fill="auto"/>
            <w:noWrap w:val="0"/>
            <w:vAlign w:val="center"/>
          </w:tcPr>
          <w:p w14:paraId="12082D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92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22" w:type="dxa"/>
            <w:vMerge w:val="continue"/>
            <w:shd w:val="clear" w:color="auto" w:fill="auto"/>
            <w:noWrap w:val="0"/>
            <w:vAlign w:val="center"/>
          </w:tcPr>
          <w:p w14:paraId="26C9320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950" w:type="dxa"/>
            <w:shd w:val="clear" w:color="auto" w:fill="auto"/>
            <w:noWrap w:val="0"/>
            <w:vAlign w:val="center"/>
          </w:tcPr>
          <w:p w14:paraId="3EF16F95">
            <w:pPr>
              <w:spacing w:line="360" w:lineRule="auto"/>
              <w:jc w:val="center"/>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3</w:t>
            </w:r>
          </w:p>
        </w:tc>
        <w:tc>
          <w:tcPr>
            <w:tcW w:w="2433" w:type="dxa"/>
            <w:shd w:val="clear" w:color="auto" w:fill="auto"/>
            <w:noWrap w:val="0"/>
            <w:vAlign w:val="center"/>
          </w:tcPr>
          <w:p w14:paraId="2DF3A9BF">
            <w:pPr>
              <w:spacing w:line="360" w:lineRule="auto"/>
              <w:jc w:val="center"/>
              <w:rPr>
                <w:rFonts w:hint="eastAsia" w:ascii="宋体" w:hAnsi="宋体" w:eastAsia="宋体" w:cs="宋体"/>
                <w:snapToGrid w:val="0"/>
                <w:sz w:val="24"/>
                <w:lang w:val="en-US" w:eastAsia="zh-CN" w:bidi="ar"/>
              </w:rPr>
            </w:pPr>
            <w:r>
              <w:rPr>
                <w:rFonts w:hint="eastAsia" w:ascii="宋体" w:hAnsi="宋体" w:eastAsia="宋体" w:cs="宋体"/>
                <w:snapToGrid w:val="0"/>
                <w:sz w:val="24"/>
                <w:lang w:val="en-US" w:eastAsia="zh-CN" w:bidi="ar"/>
              </w:rPr>
              <w:t>气瓶防倾倒绑带</w:t>
            </w:r>
          </w:p>
        </w:tc>
        <w:tc>
          <w:tcPr>
            <w:tcW w:w="1571" w:type="dxa"/>
            <w:shd w:val="clear" w:color="auto" w:fill="auto"/>
            <w:noWrap w:val="0"/>
            <w:vAlign w:val="center"/>
          </w:tcPr>
          <w:p w14:paraId="05679D20">
            <w:pPr>
              <w:spacing w:line="360" w:lineRule="auto"/>
              <w:jc w:val="both"/>
              <w:rPr>
                <w:rFonts w:hint="eastAsia" w:ascii="宋体" w:hAnsi="宋体" w:cs="宋体"/>
                <w:snapToGrid w:val="0"/>
                <w:sz w:val="24"/>
                <w:lang w:val="en-US" w:eastAsia="zh-CN" w:bidi="ar"/>
              </w:rPr>
            </w:pPr>
          </w:p>
        </w:tc>
        <w:tc>
          <w:tcPr>
            <w:tcW w:w="1779" w:type="dxa"/>
            <w:vMerge w:val="continue"/>
            <w:shd w:val="clear" w:color="auto" w:fill="auto"/>
            <w:noWrap w:val="0"/>
            <w:vAlign w:val="center"/>
          </w:tcPr>
          <w:p w14:paraId="2F9C0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04" w:type="dxa"/>
            <w:vMerge w:val="continue"/>
            <w:shd w:val="clear" w:color="auto" w:fill="auto"/>
            <w:noWrap w:val="0"/>
            <w:vAlign w:val="center"/>
          </w:tcPr>
          <w:p w14:paraId="441E8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D3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22" w:type="dxa"/>
            <w:vMerge w:val="continue"/>
            <w:shd w:val="clear" w:color="auto" w:fill="auto"/>
            <w:noWrap w:val="0"/>
            <w:vAlign w:val="center"/>
          </w:tcPr>
          <w:p w14:paraId="7D1D507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950" w:type="dxa"/>
            <w:shd w:val="clear" w:color="auto" w:fill="auto"/>
            <w:noWrap w:val="0"/>
            <w:vAlign w:val="center"/>
          </w:tcPr>
          <w:p w14:paraId="56652431">
            <w:pPr>
              <w:spacing w:line="360" w:lineRule="auto"/>
              <w:jc w:val="center"/>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4</w:t>
            </w:r>
          </w:p>
        </w:tc>
        <w:tc>
          <w:tcPr>
            <w:tcW w:w="2433" w:type="dxa"/>
            <w:shd w:val="clear" w:color="auto" w:fill="auto"/>
            <w:noWrap w:val="0"/>
            <w:vAlign w:val="center"/>
          </w:tcPr>
          <w:p w14:paraId="5778C912">
            <w:pPr>
              <w:spacing w:line="360" w:lineRule="auto"/>
              <w:jc w:val="center"/>
              <w:rPr>
                <w:rFonts w:hint="eastAsia" w:ascii="宋体" w:hAnsi="宋体" w:eastAsia="宋体" w:cs="宋体"/>
                <w:snapToGrid w:val="0"/>
                <w:sz w:val="24"/>
                <w:lang w:val="en-US" w:eastAsia="zh-CN" w:bidi="ar"/>
              </w:rPr>
            </w:pPr>
            <w:r>
              <w:rPr>
                <w:rFonts w:hint="eastAsia" w:ascii="宋体" w:hAnsi="宋体" w:eastAsia="宋体" w:cs="宋体"/>
                <w:snapToGrid w:val="0"/>
                <w:sz w:val="24"/>
                <w:lang w:val="en-US" w:eastAsia="zh-CN" w:bidi="ar"/>
              </w:rPr>
              <w:t>负压吸引装置转接头</w:t>
            </w:r>
          </w:p>
        </w:tc>
        <w:tc>
          <w:tcPr>
            <w:tcW w:w="1571" w:type="dxa"/>
            <w:shd w:val="clear" w:color="auto" w:fill="auto"/>
            <w:noWrap w:val="0"/>
            <w:vAlign w:val="center"/>
          </w:tcPr>
          <w:p w14:paraId="396AFDF6">
            <w:pPr>
              <w:spacing w:line="360" w:lineRule="auto"/>
              <w:jc w:val="both"/>
              <w:rPr>
                <w:rFonts w:hint="eastAsia" w:ascii="宋体" w:hAnsi="宋体" w:cs="宋体"/>
                <w:snapToGrid w:val="0"/>
                <w:sz w:val="24"/>
                <w:lang w:val="en-US" w:eastAsia="zh-CN" w:bidi="ar"/>
              </w:rPr>
            </w:pPr>
          </w:p>
        </w:tc>
        <w:tc>
          <w:tcPr>
            <w:tcW w:w="1779" w:type="dxa"/>
            <w:vMerge w:val="continue"/>
            <w:shd w:val="clear" w:color="auto" w:fill="auto"/>
            <w:noWrap w:val="0"/>
            <w:vAlign w:val="center"/>
          </w:tcPr>
          <w:p w14:paraId="49D662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04" w:type="dxa"/>
            <w:vMerge w:val="continue"/>
            <w:shd w:val="clear" w:color="auto" w:fill="auto"/>
            <w:noWrap w:val="0"/>
            <w:vAlign w:val="center"/>
          </w:tcPr>
          <w:p w14:paraId="07135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2B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22" w:type="dxa"/>
            <w:vMerge w:val="continue"/>
            <w:shd w:val="clear" w:color="auto" w:fill="auto"/>
            <w:noWrap w:val="0"/>
            <w:vAlign w:val="center"/>
          </w:tcPr>
          <w:p w14:paraId="7D8CDE8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950" w:type="dxa"/>
            <w:shd w:val="clear" w:color="auto" w:fill="auto"/>
            <w:noWrap w:val="0"/>
            <w:vAlign w:val="center"/>
          </w:tcPr>
          <w:p w14:paraId="15306B4F">
            <w:pPr>
              <w:spacing w:line="360" w:lineRule="auto"/>
              <w:jc w:val="center"/>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5</w:t>
            </w:r>
          </w:p>
        </w:tc>
        <w:tc>
          <w:tcPr>
            <w:tcW w:w="2433" w:type="dxa"/>
            <w:shd w:val="clear" w:color="auto" w:fill="auto"/>
            <w:noWrap w:val="0"/>
            <w:vAlign w:val="center"/>
          </w:tcPr>
          <w:p w14:paraId="3FF2E576">
            <w:pPr>
              <w:spacing w:line="360" w:lineRule="auto"/>
              <w:jc w:val="center"/>
              <w:rPr>
                <w:rFonts w:hint="eastAsia" w:ascii="宋体" w:hAnsi="宋体" w:eastAsia="宋体" w:cs="宋体"/>
                <w:snapToGrid w:val="0"/>
                <w:sz w:val="24"/>
                <w:lang w:val="en-US" w:eastAsia="zh-CN" w:bidi="ar"/>
              </w:rPr>
            </w:pPr>
            <w:r>
              <w:rPr>
                <w:rFonts w:hint="eastAsia" w:ascii="宋体" w:hAnsi="宋体" w:eastAsia="宋体" w:cs="宋体"/>
                <w:snapToGrid w:val="0"/>
                <w:sz w:val="24"/>
                <w:lang w:val="en-US" w:eastAsia="zh-CN" w:bidi="ar"/>
              </w:rPr>
              <w:t>病床液压升降杆</w:t>
            </w:r>
          </w:p>
        </w:tc>
        <w:tc>
          <w:tcPr>
            <w:tcW w:w="1571" w:type="dxa"/>
            <w:shd w:val="clear" w:color="auto" w:fill="auto"/>
            <w:noWrap w:val="0"/>
            <w:vAlign w:val="center"/>
          </w:tcPr>
          <w:p w14:paraId="292362FD">
            <w:pPr>
              <w:spacing w:line="360" w:lineRule="auto"/>
              <w:jc w:val="both"/>
              <w:rPr>
                <w:rFonts w:hint="eastAsia" w:ascii="宋体" w:hAnsi="宋体" w:cs="宋体"/>
                <w:snapToGrid w:val="0"/>
                <w:sz w:val="24"/>
                <w:lang w:val="en-US" w:eastAsia="zh-CN" w:bidi="ar"/>
              </w:rPr>
            </w:pPr>
          </w:p>
        </w:tc>
        <w:tc>
          <w:tcPr>
            <w:tcW w:w="1779" w:type="dxa"/>
            <w:vMerge w:val="continue"/>
            <w:shd w:val="clear" w:color="auto" w:fill="auto"/>
            <w:noWrap w:val="0"/>
            <w:vAlign w:val="center"/>
          </w:tcPr>
          <w:p w14:paraId="3882A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04" w:type="dxa"/>
            <w:vMerge w:val="continue"/>
            <w:shd w:val="clear" w:color="auto" w:fill="auto"/>
            <w:noWrap w:val="0"/>
            <w:vAlign w:val="center"/>
          </w:tcPr>
          <w:p w14:paraId="5DE18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B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22" w:type="dxa"/>
            <w:vMerge w:val="continue"/>
            <w:shd w:val="clear" w:color="auto" w:fill="auto"/>
            <w:noWrap w:val="0"/>
            <w:vAlign w:val="center"/>
          </w:tcPr>
          <w:p w14:paraId="0C42DE0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950" w:type="dxa"/>
            <w:shd w:val="clear" w:color="auto" w:fill="auto"/>
            <w:noWrap w:val="0"/>
            <w:vAlign w:val="center"/>
          </w:tcPr>
          <w:p w14:paraId="4B4B64FD">
            <w:pPr>
              <w:spacing w:line="360" w:lineRule="auto"/>
              <w:jc w:val="center"/>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6</w:t>
            </w:r>
          </w:p>
        </w:tc>
        <w:tc>
          <w:tcPr>
            <w:tcW w:w="2433" w:type="dxa"/>
            <w:shd w:val="clear" w:color="auto" w:fill="auto"/>
            <w:noWrap w:val="0"/>
            <w:vAlign w:val="center"/>
          </w:tcPr>
          <w:p w14:paraId="0EB546AF">
            <w:pPr>
              <w:spacing w:line="360" w:lineRule="auto"/>
              <w:jc w:val="center"/>
              <w:rPr>
                <w:rFonts w:hint="eastAsia" w:ascii="宋体" w:hAnsi="宋体" w:eastAsia="宋体" w:cs="宋体"/>
                <w:snapToGrid w:val="0"/>
                <w:sz w:val="24"/>
                <w:lang w:val="en-US" w:eastAsia="zh-CN" w:bidi="ar"/>
              </w:rPr>
            </w:pPr>
            <w:r>
              <w:rPr>
                <w:rFonts w:hint="eastAsia" w:ascii="宋体" w:hAnsi="宋体" w:eastAsia="宋体" w:cs="宋体"/>
                <w:snapToGrid w:val="0"/>
                <w:sz w:val="24"/>
                <w:lang w:val="en-US" w:eastAsia="zh-CN" w:bidi="ar"/>
              </w:rPr>
              <w:t>病床护栏升降器</w:t>
            </w:r>
          </w:p>
        </w:tc>
        <w:tc>
          <w:tcPr>
            <w:tcW w:w="1571" w:type="dxa"/>
            <w:shd w:val="clear" w:color="auto" w:fill="auto"/>
            <w:noWrap w:val="0"/>
            <w:vAlign w:val="center"/>
          </w:tcPr>
          <w:p w14:paraId="3265D4EC">
            <w:pPr>
              <w:spacing w:line="360" w:lineRule="auto"/>
              <w:jc w:val="both"/>
              <w:rPr>
                <w:rFonts w:hint="eastAsia" w:ascii="宋体" w:hAnsi="宋体" w:cs="宋体"/>
                <w:snapToGrid w:val="0"/>
                <w:sz w:val="24"/>
                <w:lang w:val="en-US" w:eastAsia="zh-CN" w:bidi="ar"/>
              </w:rPr>
            </w:pPr>
          </w:p>
        </w:tc>
        <w:tc>
          <w:tcPr>
            <w:tcW w:w="1779" w:type="dxa"/>
            <w:vMerge w:val="continue"/>
            <w:shd w:val="clear" w:color="auto" w:fill="auto"/>
            <w:noWrap w:val="0"/>
            <w:vAlign w:val="center"/>
          </w:tcPr>
          <w:p w14:paraId="24067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04" w:type="dxa"/>
            <w:vMerge w:val="continue"/>
            <w:shd w:val="clear" w:color="auto" w:fill="auto"/>
            <w:noWrap w:val="0"/>
            <w:vAlign w:val="center"/>
          </w:tcPr>
          <w:p w14:paraId="1B3F4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EC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22" w:type="dxa"/>
            <w:vMerge w:val="continue"/>
            <w:shd w:val="clear" w:color="auto" w:fill="auto"/>
            <w:noWrap w:val="0"/>
            <w:vAlign w:val="center"/>
          </w:tcPr>
          <w:p w14:paraId="44255B8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950" w:type="dxa"/>
            <w:shd w:val="clear" w:color="auto" w:fill="auto"/>
            <w:noWrap w:val="0"/>
            <w:vAlign w:val="center"/>
          </w:tcPr>
          <w:p w14:paraId="174EA73C">
            <w:pPr>
              <w:spacing w:line="360" w:lineRule="auto"/>
              <w:jc w:val="center"/>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7</w:t>
            </w:r>
          </w:p>
        </w:tc>
        <w:tc>
          <w:tcPr>
            <w:tcW w:w="2433" w:type="dxa"/>
            <w:shd w:val="clear" w:color="auto" w:fill="auto"/>
            <w:noWrap w:val="0"/>
            <w:vAlign w:val="center"/>
          </w:tcPr>
          <w:p w14:paraId="24EFE434">
            <w:pPr>
              <w:spacing w:line="360" w:lineRule="auto"/>
              <w:jc w:val="center"/>
              <w:rPr>
                <w:rFonts w:hint="eastAsia" w:ascii="宋体" w:hAnsi="宋体" w:eastAsia="宋体" w:cs="宋体"/>
                <w:snapToGrid w:val="0"/>
                <w:sz w:val="24"/>
                <w:lang w:val="en-US" w:eastAsia="zh-CN" w:bidi="ar"/>
              </w:rPr>
            </w:pPr>
            <w:r>
              <w:rPr>
                <w:rFonts w:hint="eastAsia" w:ascii="宋体" w:hAnsi="宋体" w:eastAsia="宋体" w:cs="宋体"/>
                <w:snapToGrid w:val="0"/>
                <w:sz w:val="24"/>
                <w:lang w:val="en-US" w:eastAsia="zh-CN" w:bidi="ar"/>
              </w:rPr>
              <w:t>电动流产吸引器踏板</w:t>
            </w:r>
          </w:p>
        </w:tc>
        <w:tc>
          <w:tcPr>
            <w:tcW w:w="1571" w:type="dxa"/>
            <w:shd w:val="clear" w:color="auto" w:fill="auto"/>
            <w:noWrap w:val="0"/>
            <w:vAlign w:val="center"/>
          </w:tcPr>
          <w:p w14:paraId="23050568">
            <w:pPr>
              <w:spacing w:line="360" w:lineRule="auto"/>
              <w:jc w:val="both"/>
              <w:rPr>
                <w:rFonts w:hint="eastAsia" w:ascii="宋体" w:hAnsi="宋体" w:cs="宋体"/>
                <w:snapToGrid w:val="0"/>
                <w:sz w:val="24"/>
                <w:lang w:val="en-US" w:eastAsia="zh-CN" w:bidi="ar"/>
              </w:rPr>
            </w:pPr>
          </w:p>
        </w:tc>
        <w:tc>
          <w:tcPr>
            <w:tcW w:w="1779" w:type="dxa"/>
            <w:vMerge w:val="continue"/>
            <w:shd w:val="clear" w:color="auto" w:fill="auto"/>
            <w:noWrap w:val="0"/>
            <w:vAlign w:val="center"/>
          </w:tcPr>
          <w:p w14:paraId="194516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04" w:type="dxa"/>
            <w:vMerge w:val="continue"/>
            <w:shd w:val="clear" w:color="auto" w:fill="auto"/>
            <w:noWrap w:val="0"/>
            <w:vAlign w:val="center"/>
          </w:tcPr>
          <w:p w14:paraId="0AB76B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C7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22" w:type="dxa"/>
            <w:vMerge w:val="continue"/>
            <w:shd w:val="clear" w:color="auto" w:fill="auto"/>
            <w:noWrap w:val="0"/>
            <w:vAlign w:val="center"/>
          </w:tcPr>
          <w:p w14:paraId="155BCF6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950" w:type="dxa"/>
            <w:shd w:val="clear" w:color="auto" w:fill="auto"/>
            <w:noWrap w:val="0"/>
            <w:vAlign w:val="center"/>
          </w:tcPr>
          <w:p w14:paraId="46794241">
            <w:pPr>
              <w:spacing w:line="360" w:lineRule="auto"/>
              <w:jc w:val="center"/>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8</w:t>
            </w:r>
          </w:p>
        </w:tc>
        <w:tc>
          <w:tcPr>
            <w:tcW w:w="2433" w:type="dxa"/>
            <w:shd w:val="clear" w:color="auto" w:fill="auto"/>
            <w:noWrap w:val="0"/>
            <w:vAlign w:val="center"/>
          </w:tcPr>
          <w:p w14:paraId="79ABC455">
            <w:pPr>
              <w:spacing w:line="360" w:lineRule="auto"/>
              <w:jc w:val="center"/>
              <w:rPr>
                <w:rFonts w:hint="eastAsia" w:ascii="宋体" w:hAnsi="宋体" w:eastAsia="宋体" w:cs="宋体"/>
                <w:snapToGrid w:val="0"/>
                <w:sz w:val="24"/>
                <w:lang w:val="en-US" w:eastAsia="zh-CN" w:bidi="ar"/>
              </w:rPr>
            </w:pPr>
            <w:r>
              <w:rPr>
                <w:rFonts w:hint="eastAsia" w:ascii="宋体" w:hAnsi="宋体" w:eastAsia="宋体" w:cs="宋体"/>
                <w:snapToGrid w:val="0"/>
                <w:sz w:val="24"/>
                <w:lang w:val="en-US" w:eastAsia="zh-CN" w:bidi="ar"/>
              </w:rPr>
              <w:t>体温枪</w:t>
            </w:r>
          </w:p>
        </w:tc>
        <w:tc>
          <w:tcPr>
            <w:tcW w:w="1571" w:type="dxa"/>
            <w:shd w:val="clear" w:color="auto" w:fill="auto"/>
            <w:noWrap w:val="0"/>
            <w:vAlign w:val="center"/>
          </w:tcPr>
          <w:p w14:paraId="3463DC8D">
            <w:pPr>
              <w:spacing w:line="360" w:lineRule="auto"/>
              <w:jc w:val="both"/>
              <w:rPr>
                <w:rFonts w:hint="eastAsia" w:ascii="宋体" w:hAnsi="宋体" w:cs="宋体"/>
                <w:snapToGrid w:val="0"/>
                <w:sz w:val="24"/>
                <w:lang w:val="en-US" w:eastAsia="zh-CN" w:bidi="ar"/>
              </w:rPr>
            </w:pPr>
          </w:p>
        </w:tc>
        <w:tc>
          <w:tcPr>
            <w:tcW w:w="1779" w:type="dxa"/>
            <w:vMerge w:val="continue"/>
            <w:shd w:val="clear" w:color="auto" w:fill="auto"/>
            <w:noWrap w:val="0"/>
            <w:vAlign w:val="center"/>
          </w:tcPr>
          <w:p w14:paraId="77E178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04" w:type="dxa"/>
            <w:vMerge w:val="continue"/>
            <w:shd w:val="clear" w:color="auto" w:fill="auto"/>
            <w:noWrap w:val="0"/>
            <w:vAlign w:val="center"/>
          </w:tcPr>
          <w:p w14:paraId="5512E5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AC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22" w:type="dxa"/>
            <w:vMerge w:val="continue"/>
            <w:shd w:val="clear" w:color="auto" w:fill="auto"/>
            <w:noWrap w:val="0"/>
            <w:vAlign w:val="center"/>
          </w:tcPr>
          <w:p w14:paraId="04F2F6F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p>
        </w:tc>
        <w:tc>
          <w:tcPr>
            <w:tcW w:w="950" w:type="dxa"/>
            <w:shd w:val="clear" w:color="auto" w:fill="auto"/>
            <w:noWrap w:val="0"/>
            <w:vAlign w:val="center"/>
          </w:tcPr>
          <w:p w14:paraId="19D98571">
            <w:pPr>
              <w:spacing w:line="360" w:lineRule="auto"/>
              <w:jc w:val="center"/>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9</w:t>
            </w:r>
          </w:p>
        </w:tc>
        <w:tc>
          <w:tcPr>
            <w:tcW w:w="2433" w:type="dxa"/>
            <w:shd w:val="clear" w:color="auto" w:fill="auto"/>
            <w:noWrap w:val="0"/>
            <w:vAlign w:val="center"/>
          </w:tcPr>
          <w:p w14:paraId="1CE5B2BC">
            <w:pPr>
              <w:spacing w:line="360" w:lineRule="auto"/>
              <w:jc w:val="center"/>
              <w:rPr>
                <w:rFonts w:hint="eastAsia" w:ascii="宋体" w:hAnsi="宋体" w:eastAsia="宋体" w:cs="宋体"/>
                <w:snapToGrid w:val="0"/>
                <w:sz w:val="24"/>
                <w:lang w:val="en-US" w:eastAsia="zh-CN" w:bidi="ar"/>
              </w:rPr>
            </w:pPr>
            <w:r>
              <w:rPr>
                <w:rFonts w:hint="eastAsia" w:ascii="宋体" w:hAnsi="宋体" w:eastAsia="宋体" w:cs="宋体"/>
                <w:snapToGrid w:val="0"/>
                <w:sz w:val="24"/>
                <w:lang w:val="en-US" w:eastAsia="zh-CN" w:bidi="ar"/>
              </w:rPr>
              <w:t>病人转运担架车</w:t>
            </w:r>
          </w:p>
        </w:tc>
        <w:tc>
          <w:tcPr>
            <w:tcW w:w="1571" w:type="dxa"/>
            <w:shd w:val="clear" w:color="auto" w:fill="auto"/>
            <w:noWrap w:val="0"/>
            <w:vAlign w:val="center"/>
          </w:tcPr>
          <w:p w14:paraId="24B72427">
            <w:pPr>
              <w:spacing w:line="360" w:lineRule="auto"/>
              <w:jc w:val="both"/>
              <w:rPr>
                <w:rFonts w:hint="eastAsia" w:ascii="宋体" w:hAnsi="宋体" w:cs="宋体"/>
                <w:snapToGrid w:val="0"/>
                <w:sz w:val="24"/>
                <w:lang w:val="en-US" w:eastAsia="zh-CN" w:bidi="ar"/>
              </w:rPr>
            </w:pPr>
          </w:p>
        </w:tc>
        <w:tc>
          <w:tcPr>
            <w:tcW w:w="1779" w:type="dxa"/>
            <w:vMerge w:val="continue"/>
            <w:shd w:val="clear" w:color="auto" w:fill="auto"/>
            <w:noWrap w:val="0"/>
            <w:vAlign w:val="center"/>
          </w:tcPr>
          <w:p w14:paraId="4FA20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04" w:type="dxa"/>
            <w:vMerge w:val="continue"/>
            <w:shd w:val="clear" w:color="auto" w:fill="auto"/>
            <w:noWrap w:val="0"/>
            <w:vAlign w:val="center"/>
          </w:tcPr>
          <w:p w14:paraId="36F5CB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D7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659" w:type="dxa"/>
            <w:gridSpan w:val="6"/>
            <w:shd w:val="clear" w:color="auto" w:fill="auto"/>
            <w:noWrap w:val="0"/>
            <w:vAlign w:val="center"/>
          </w:tcPr>
          <w:p w14:paraId="49990BE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sz w:val="24"/>
                <w:lang w:val="en-US" w:eastAsia="zh-CN" w:bidi="ar"/>
              </w:rPr>
              <w:t>备注：</w:t>
            </w:r>
          </w:p>
        </w:tc>
      </w:tr>
    </w:tbl>
    <w:p w14:paraId="2F0146B9">
      <w:pPr>
        <w:spacing w:line="360" w:lineRule="auto"/>
        <w:rPr>
          <w:rFonts w:ascii="宋体" w:hAnsi="宋体" w:cs="宋体"/>
          <w:snapToGrid w:val="0"/>
          <w:sz w:val="24"/>
          <w:lang w:bidi="ar"/>
        </w:rPr>
      </w:pPr>
      <w:r>
        <w:rPr>
          <w:rFonts w:hint="eastAsia" w:ascii="宋体" w:hAnsi="宋体" w:cs="宋体"/>
          <w:snapToGrid w:val="0"/>
          <w:sz w:val="24"/>
          <w:lang w:bidi="ar"/>
        </w:rPr>
        <w:t>注：</w:t>
      </w:r>
    </w:p>
    <w:p w14:paraId="4318A33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1.所有报价均用人民币表示，所报价格是完成项目的验收价格，其总报价即为履行合同的固定总价格。完成项目包含的</w:t>
      </w:r>
      <w:r>
        <w:rPr>
          <w:rFonts w:hint="eastAsia" w:ascii="宋体" w:hAnsi="宋体" w:cs="宋体"/>
          <w:snapToGrid w:val="0"/>
          <w:sz w:val="24"/>
        </w:rPr>
        <w:t>运输、发票、税金、人工等一切费用</w:t>
      </w:r>
      <w:r>
        <w:rPr>
          <w:rFonts w:hint="eastAsia" w:ascii="宋体" w:hAnsi="宋体" w:cs="宋体"/>
          <w:snapToGrid w:val="0"/>
          <w:sz w:val="24"/>
          <w:lang w:bidi="ar"/>
        </w:rPr>
        <w:t>以及采购文件规定的其他费用均应包含在报价中。</w:t>
      </w:r>
    </w:p>
    <w:p w14:paraId="7833D445">
      <w:pPr>
        <w:spacing w:line="360" w:lineRule="auto"/>
        <w:ind w:firstLine="480" w:firstLineChars="200"/>
        <w:rPr>
          <w:rFonts w:hint="eastAsia" w:ascii="宋体" w:hAnsi="宋体" w:cs="宋体"/>
          <w:snapToGrid w:val="0"/>
          <w:sz w:val="24"/>
          <w:lang w:bidi="ar"/>
        </w:rPr>
      </w:pPr>
      <w:r>
        <w:rPr>
          <w:rFonts w:hint="eastAsia" w:ascii="宋体" w:hAnsi="宋体" w:cs="宋体"/>
          <w:snapToGrid w:val="0"/>
          <w:sz w:val="24"/>
          <w:lang w:bidi="ar"/>
        </w:rPr>
        <w:t>2.以上表格如不能完全表达清楚报价人认为必要的费用明细，报价人可自行补充。</w:t>
      </w:r>
    </w:p>
    <w:p w14:paraId="06975D08">
      <w:pPr>
        <w:spacing w:line="360" w:lineRule="auto"/>
        <w:ind w:firstLine="480" w:firstLineChars="200"/>
        <w:jc w:val="left"/>
        <w:rPr>
          <w:rFonts w:hint="eastAsia" w:ascii="宋体" w:hAnsi="宋体" w:cs="宋体"/>
          <w:snapToGrid w:val="0"/>
          <w:sz w:val="24"/>
          <w:lang w:bidi="ar"/>
        </w:rPr>
      </w:pPr>
      <w:r>
        <w:rPr>
          <w:rFonts w:hint="eastAsia" w:ascii="宋体" w:hAnsi="宋体" w:cs="宋体"/>
          <w:snapToGrid w:val="0"/>
          <w:sz w:val="24"/>
          <w:lang w:val="en-US" w:eastAsia="zh-CN" w:bidi="ar"/>
        </w:rPr>
        <w:t>3.</w:t>
      </w:r>
      <w:r>
        <w:rPr>
          <w:rFonts w:hint="eastAsia" w:ascii="宋体" w:hAnsi="宋体" w:cs="宋体"/>
          <w:snapToGrid w:val="0"/>
          <w:sz w:val="24"/>
          <w:lang w:val="en-US" w:eastAsia="zh-CN"/>
        </w:rPr>
        <w:t>供应商报价低于预算的</w:t>
      </w:r>
      <w:r>
        <w:rPr>
          <w:rFonts w:hint="eastAsia" w:ascii="宋体" w:hAnsi="宋体" w:cs="宋体"/>
          <w:snapToGrid w:val="0"/>
          <w:sz w:val="24"/>
          <w:highlight w:val="none"/>
          <w:lang w:val="en-US" w:eastAsia="zh-CN"/>
        </w:rPr>
        <w:t>65%（不含）</w:t>
      </w:r>
      <w:r>
        <w:rPr>
          <w:rFonts w:hint="eastAsia" w:ascii="宋体" w:hAnsi="宋体" w:cs="宋体"/>
          <w:snapToGrid w:val="0"/>
          <w:sz w:val="24"/>
          <w:lang w:val="en-US" w:eastAsia="zh-CN"/>
        </w:rPr>
        <w:t>或</w:t>
      </w:r>
      <w:r>
        <w:rPr>
          <w:rFonts w:hint="eastAsia" w:ascii="宋体" w:hAnsi="宋体" w:cs="宋体"/>
          <w:snapToGrid w:val="0"/>
          <w:sz w:val="24"/>
        </w:rPr>
        <w:t>评标委员会认为报价明显低于其他通过符合性审查供应商的报价，有可能影响产品</w:t>
      </w:r>
      <w:r>
        <w:rPr>
          <w:rFonts w:hint="eastAsia" w:ascii="宋体" w:hAnsi="宋体" w:cs="宋体"/>
          <w:snapToGrid w:val="0"/>
          <w:sz w:val="24"/>
          <w:lang w:val="en-US" w:eastAsia="zh-CN"/>
        </w:rPr>
        <w:t>/服务</w:t>
      </w:r>
      <w:r>
        <w:rPr>
          <w:rFonts w:hint="eastAsia" w:ascii="宋体" w:hAnsi="宋体" w:cs="宋体"/>
          <w:snapToGrid w:val="0"/>
          <w:sz w:val="24"/>
        </w:rPr>
        <w:t>质量或者不能诚信履约的，应当要求其在</w:t>
      </w:r>
      <w:r>
        <w:rPr>
          <w:rFonts w:hint="eastAsia" w:ascii="宋体" w:hAnsi="宋体" w:cs="宋体"/>
          <w:snapToGrid w:val="0"/>
          <w:sz w:val="24"/>
          <w:lang w:val="en-US" w:eastAsia="zh-CN"/>
        </w:rPr>
        <w:t>当</w:t>
      </w:r>
      <w:r>
        <w:rPr>
          <w:rFonts w:hint="eastAsia" w:ascii="宋体" w:hAnsi="宋体" w:cs="宋体"/>
          <w:snapToGrid w:val="0"/>
          <w:sz w:val="24"/>
        </w:rPr>
        <w:t>日内提供书面说明，必要时提交相关证明材料；供应商未在规定的时间内提交说明或不足以证明其报价合理性的作为无效投标处理，则顺位取排名下一位的供应商。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w:t>
      </w: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72245182">
      <w:pPr>
        <w:spacing w:line="360" w:lineRule="auto"/>
        <w:ind w:firstLine="480" w:firstLineChars="200"/>
      </w:pPr>
      <w:r>
        <w:rPr>
          <w:rFonts w:hint="eastAsia" w:ascii="宋体" w:hAnsi="宋体" w:cs="宋体"/>
          <w:snapToGrid w:val="0"/>
          <w:sz w:val="24"/>
          <w:lang w:bidi="ar"/>
        </w:rPr>
        <w:t>日      期：XXX年XXX月XXX日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22264E9"/>
    <w:rsid w:val="02CD3CC1"/>
    <w:rsid w:val="0469405F"/>
    <w:rsid w:val="04A626A2"/>
    <w:rsid w:val="05570E2A"/>
    <w:rsid w:val="05CB6D05"/>
    <w:rsid w:val="07DC457F"/>
    <w:rsid w:val="09AE4B48"/>
    <w:rsid w:val="0A812903"/>
    <w:rsid w:val="10D942F9"/>
    <w:rsid w:val="12A3059B"/>
    <w:rsid w:val="13472AAF"/>
    <w:rsid w:val="137B2552"/>
    <w:rsid w:val="15935167"/>
    <w:rsid w:val="15A570BE"/>
    <w:rsid w:val="1A031D91"/>
    <w:rsid w:val="1C9F6761"/>
    <w:rsid w:val="1F0A762A"/>
    <w:rsid w:val="202D4FDD"/>
    <w:rsid w:val="206C0BF3"/>
    <w:rsid w:val="20DC13FC"/>
    <w:rsid w:val="23AD24E6"/>
    <w:rsid w:val="23D172B2"/>
    <w:rsid w:val="273B6B9C"/>
    <w:rsid w:val="29127DD1"/>
    <w:rsid w:val="2BE43503"/>
    <w:rsid w:val="2D30423D"/>
    <w:rsid w:val="2E443BAC"/>
    <w:rsid w:val="32B36180"/>
    <w:rsid w:val="333C00D7"/>
    <w:rsid w:val="3739441D"/>
    <w:rsid w:val="38042FDA"/>
    <w:rsid w:val="385A5280"/>
    <w:rsid w:val="38EE2201"/>
    <w:rsid w:val="38FF4BF4"/>
    <w:rsid w:val="39E656AB"/>
    <w:rsid w:val="3BF03E3C"/>
    <w:rsid w:val="3D960DA7"/>
    <w:rsid w:val="3F590508"/>
    <w:rsid w:val="45A81449"/>
    <w:rsid w:val="46B97550"/>
    <w:rsid w:val="48627FD5"/>
    <w:rsid w:val="4D9E7802"/>
    <w:rsid w:val="50A53155"/>
    <w:rsid w:val="50B11AF9"/>
    <w:rsid w:val="5149499E"/>
    <w:rsid w:val="515F1555"/>
    <w:rsid w:val="52B471BF"/>
    <w:rsid w:val="56494297"/>
    <w:rsid w:val="59CF11B6"/>
    <w:rsid w:val="5D727FA7"/>
    <w:rsid w:val="5E390DBC"/>
    <w:rsid w:val="61A44D62"/>
    <w:rsid w:val="62286F47"/>
    <w:rsid w:val="63414F5F"/>
    <w:rsid w:val="672E75A8"/>
    <w:rsid w:val="6A726979"/>
    <w:rsid w:val="6B8071FF"/>
    <w:rsid w:val="6C3F1900"/>
    <w:rsid w:val="6D7E290C"/>
    <w:rsid w:val="6F4C1C86"/>
    <w:rsid w:val="70C8281B"/>
    <w:rsid w:val="71450956"/>
    <w:rsid w:val="770E44D4"/>
    <w:rsid w:val="77E46D39"/>
    <w:rsid w:val="7961666D"/>
    <w:rsid w:val="79FE13F8"/>
    <w:rsid w:val="7D51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rFonts w:ascii="Times New Roman" w:hAnsi="Times New Roman"/>
      <w:kern w:val="1"/>
      <w:lang w:eastAsia="ar-SA"/>
    </w:rPr>
  </w:style>
  <w:style w:type="paragraph" w:customStyle="1" w:styleId="5">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2428</Words>
  <Characters>2521</Characters>
  <Lines>0</Lines>
  <Paragraphs>0</Paragraphs>
  <TotalTime>3</TotalTime>
  <ScaleCrop>false</ScaleCrop>
  <LinksUpToDate>false</LinksUpToDate>
  <CharactersWithSpaces>2558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2026-07-17T01:21:56Z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